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18FF0" w14:textId="254497BC" w:rsidR="00AA1D03" w:rsidRPr="00243252" w:rsidRDefault="00AA1D03" w:rsidP="00243252">
      <w:pPr>
        <w:pStyle w:val="Citazioneintensa"/>
        <w:ind w:left="0" w:right="-1"/>
        <w:rPr>
          <w:b/>
          <w:bCs/>
          <w:i w:val="0"/>
          <w:iCs w:val="0"/>
          <w:sz w:val="28"/>
          <w:szCs w:val="28"/>
        </w:rPr>
      </w:pPr>
      <w:bookmarkStart w:id="0" w:name="_Toc130885027"/>
      <w:r w:rsidRPr="00243252">
        <w:rPr>
          <w:b/>
          <w:bCs/>
          <w:i w:val="0"/>
          <w:iCs w:val="0"/>
          <w:sz w:val="28"/>
          <w:szCs w:val="28"/>
        </w:rPr>
        <w:t>ALLEGATO AL REGOLAMENTO SULLE PROCEDURE CONCORSUALI E SELETTIVE</w:t>
      </w:r>
    </w:p>
    <w:p w14:paraId="6DF02E5F" w14:textId="77777777" w:rsidR="0017288E" w:rsidRDefault="0017288E" w:rsidP="00AA1D03">
      <w:pPr>
        <w:pStyle w:val="Titolo1"/>
        <w:spacing w:before="0"/>
        <w:ind w:left="0" w:right="0"/>
        <w:rPr>
          <w:rFonts w:asciiTheme="minorHAnsi" w:hAnsiTheme="minorHAnsi" w:cstheme="minorHAnsi"/>
        </w:rPr>
      </w:pPr>
    </w:p>
    <w:p w14:paraId="537DE076" w14:textId="77777777" w:rsidR="00AA1D03" w:rsidRDefault="00AA1D03" w:rsidP="00AA1D03">
      <w:pPr>
        <w:pStyle w:val="Titolo1"/>
        <w:spacing w:before="0"/>
        <w:ind w:left="0" w:right="0"/>
        <w:rPr>
          <w:rFonts w:asciiTheme="minorHAnsi" w:hAnsiTheme="minorHAnsi" w:cstheme="minorHAnsi"/>
        </w:rPr>
      </w:pPr>
    </w:p>
    <w:p w14:paraId="479BD5CA" w14:textId="71DAE403" w:rsidR="00B1459B" w:rsidRPr="00D61538" w:rsidRDefault="00B1459B" w:rsidP="00B1459B">
      <w:pPr>
        <w:pStyle w:val="Titolo1"/>
        <w:spacing w:before="0"/>
        <w:ind w:left="0" w:right="0"/>
        <w:jc w:val="both"/>
        <w:rPr>
          <w:rFonts w:asciiTheme="minorHAnsi" w:hAnsiTheme="minorHAnsi" w:cstheme="minorHAnsi"/>
          <w:bCs w:val="0"/>
          <w:caps/>
        </w:rPr>
      </w:pPr>
      <w:bookmarkStart w:id="1" w:name="_Toc130888518"/>
      <w:bookmarkEnd w:id="0"/>
      <w:r w:rsidRPr="00D61538">
        <w:rPr>
          <w:rFonts w:asciiTheme="minorHAnsi" w:hAnsiTheme="minorHAnsi" w:cstheme="minorHAnsi"/>
          <w:bCs w:val="0"/>
          <w:caps/>
        </w:rPr>
        <w:t xml:space="preserve">ART. </w:t>
      </w:r>
      <w:r>
        <w:rPr>
          <w:rFonts w:asciiTheme="minorHAnsi" w:hAnsiTheme="minorHAnsi" w:cstheme="minorHAnsi"/>
          <w:bCs w:val="0"/>
          <w:caps/>
        </w:rPr>
        <w:t>1</w:t>
      </w:r>
      <w:r w:rsidRPr="00D61538">
        <w:rPr>
          <w:rFonts w:asciiTheme="minorHAnsi" w:hAnsiTheme="minorHAnsi" w:cstheme="minorHAnsi"/>
          <w:bCs w:val="0"/>
          <w:caps/>
        </w:rPr>
        <w:t xml:space="preserve"> – LE PROGRESSIONI TRA LE AREE A REGIME</w:t>
      </w:r>
      <w:bookmarkEnd w:id="1"/>
    </w:p>
    <w:p w14:paraId="4065919B" w14:textId="77777777" w:rsidR="00B1459B" w:rsidRPr="001E7917" w:rsidRDefault="00B1459B" w:rsidP="00B1459B">
      <w:pPr>
        <w:pStyle w:val="Titolo1"/>
        <w:spacing w:before="0"/>
        <w:ind w:left="0" w:right="0"/>
        <w:jc w:val="both"/>
        <w:rPr>
          <w:rFonts w:asciiTheme="minorHAnsi" w:hAnsiTheme="minorHAnsi" w:cstheme="minorHAnsi"/>
        </w:rPr>
      </w:pPr>
    </w:p>
    <w:p w14:paraId="720A6BC6" w14:textId="14D58883" w:rsidR="00F8407F" w:rsidRDefault="00B1459B" w:rsidP="00F8407F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Le progressioni tra le aree a regime (progressioni verticali), ai sensi dell'art. 52 c. 1-bis del dlgs 165/2001 e dell’art. 1</w:t>
      </w:r>
      <w:r w:rsidR="001C22F0">
        <w:rPr>
          <w:rStyle w:val="normaltextrun"/>
          <w:rFonts w:ascii="Calibri" w:hAnsi="Calibri" w:cs="Calibri"/>
        </w:rPr>
        <w:t>3</w:t>
      </w:r>
      <w:r>
        <w:rPr>
          <w:rStyle w:val="normaltextrun"/>
          <w:rFonts w:ascii="Calibri" w:hAnsi="Calibri" w:cs="Calibri"/>
        </w:rPr>
        <w:t xml:space="preserve"> del CCNL Comparto Funzioni Locali del </w:t>
      </w:r>
      <w:r w:rsidR="001C22F0">
        <w:rPr>
          <w:rStyle w:val="normaltextrun"/>
          <w:rFonts w:ascii="Calibri" w:hAnsi="Calibri" w:cs="Calibri"/>
        </w:rPr>
        <w:t>23.02.2026</w:t>
      </w:r>
      <w:r>
        <w:rPr>
          <w:rStyle w:val="normaltextrun"/>
          <w:rFonts w:ascii="Calibri" w:hAnsi="Calibri" w:cs="Calibri"/>
        </w:rPr>
        <w:t>, vengono effettuate a seguito dell’emanazione di uno specifico avviso pubblico al quale partecipano i dipendenti dell’Ente, sono idonei a partecipare coloro che sono titolari di un contratto di lavoro a tempo indeterminato, sono in possesso del titolo di studio per l’accesso all’Area superiore e non hanno ricevuto procedimenti disciplinari conclusi con sanzione superiore alla multa negli ultimi 2 anni, oltre che nell’anno corrente, in caso vi sia un procedimento disciplinare pendente il dipendente viene ammesso con riserva e l’eventuale progressione sospesa fino alla conclusione del procedimento</w:t>
      </w:r>
      <w:r w:rsidR="00F8407F">
        <w:rPr>
          <w:rStyle w:val="normaltextrun"/>
          <w:rFonts w:ascii="Calibri" w:hAnsi="Calibri" w:cs="Calibri"/>
        </w:rPr>
        <w:t>.</w:t>
      </w:r>
    </w:p>
    <w:p w14:paraId="138FBE61" w14:textId="41AD4267" w:rsidR="00B1459B" w:rsidRPr="00F8407F" w:rsidRDefault="00F8407F" w:rsidP="00F8407F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</w:rPr>
      </w:pPr>
      <w:r w:rsidRPr="00F8407F">
        <w:rPr>
          <w:rStyle w:val="normaltextrun"/>
          <w:rFonts w:ascii="Calibri" w:hAnsi="Calibri" w:cs="Calibri"/>
        </w:rPr>
        <w:t>A fronte di ogni singola progressione verticale interna va garantito l’equivalente accesso dall’esterno (mediante concorso pubblico o scorrimento di graduatoria concorsuale valida), mediante la programmazione di entrambe le procedure all’interno del PIAO del triennio di riferimento.</w:t>
      </w:r>
    </w:p>
    <w:p w14:paraId="0C874544" w14:textId="032D77B0" w:rsidR="00B1459B" w:rsidRPr="00F8407F" w:rsidRDefault="00B1459B" w:rsidP="00F8407F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La valutazione comparativa si basata sull'analisi dei seguenti fattori:</w:t>
      </w:r>
      <w:r w:rsidRPr="00F8407F">
        <w:rPr>
          <w:rStyle w:val="normaltextrun"/>
        </w:rPr>
        <w:t> </w:t>
      </w:r>
    </w:p>
    <w:p w14:paraId="3C78F3C1" w14:textId="77777777" w:rsidR="00B1459B" w:rsidRDefault="00B1459B" w:rsidP="00F8407F">
      <w:pPr>
        <w:pStyle w:val="paragraph"/>
        <w:spacing w:before="0" w:beforeAutospacing="0" w:after="0" w:afterAutospacing="0"/>
        <w:ind w:left="708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a) Media aritmetica delle valutazioni ricevute nelle schede relative alla performance individuale dell'ultimo triennio precedente all’anno in cui si svolge la progressione, o in alternativa le ultime tre valutazioni disponibili in ordine cronologico qualora non sia stato possibile effettuare la valutaizone di una annualità (60 punti su 100);</w:t>
      </w:r>
      <w:r>
        <w:rPr>
          <w:rStyle w:val="eop"/>
          <w:rFonts w:ascii="Calibri" w:hAnsi="Calibri" w:cs="Calibri"/>
        </w:rPr>
        <w:t> </w:t>
      </w:r>
    </w:p>
    <w:p w14:paraId="072C19D8" w14:textId="6E718812" w:rsidR="00B1459B" w:rsidRDefault="00B1459B" w:rsidP="00F8407F">
      <w:pPr>
        <w:pStyle w:val="paragraph"/>
        <w:spacing w:before="0" w:beforeAutospacing="0" w:after="0" w:afterAutospacing="0"/>
        <w:ind w:left="708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b) Iscrizione ad albi e titoli professionali riconosciuti, titoli di studio scolastici, universitari e </w:t>
      </w:r>
      <w:r w:rsidR="001B4228">
        <w:rPr>
          <w:rStyle w:val="normaltextrun"/>
          <w:rFonts w:ascii="Calibri" w:hAnsi="Calibri" w:cs="Calibri"/>
        </w:rPr>
        <w:t>post-universitari</w:t>
      </w:r>
      <w:r>
        <w:rPr>
          <w:rStyle w:val="normaltextrun"/>
          <w:rFonts w:ascii="Calibri" w:hAnsi="Calibri" w:cs="Calibri"/>
        </w:rPr>
        <w:t xml:space="preserve"> ulteriori rispetto a quello richiesto per l'accesso attinenti con il profilo professionale oggetto della procedura (20 punti su 100);</w:t>
      </w:r>
      <w:r>
        <w:rPr>
          <w:rStyle w:val="eop"/>
          <w:rFonts w:ascii="Calibri" w:hAnsi="Calibri" w:cs="Calibri"/>
        </w:rPr>
        <w:t> </w:t>
      </w:r>
    </w:p>
    <w:p w14:paraId="41E82812" w14:textId="77777777" w:rsidR="00B1459B" w:rsidRDefault="00B1459B" w:rsidP="00F8407F">
      <w:pPr>
        <w:pStyle w:val="paragraph"/>
        <w:spacing w:before="0" w:beforeAutospacing="0" w:after="0" w:afterAutospacing="0"/>
        <w:ind w:left="708"/>
        <w:jc w:val="both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c) Competenze professionali acquisite con specifici incarichi professionali rivestiti sia nella Pubblica Amministrazione che in ambito privatistico attinenti con il profilo professionale oggetto della procedura (20 punti su 100).</w:t>
      </w:r>
      <w:r>
        <w:rPr>
          <w:rStyle w:val="eop"/>
          <w:rFonts w:ascii="Calibri" w:hAnsi="Calibri" w:cs="Calibri"/>
        </w:rPr>
        <w:t> </w:t>
      </w:r>
    </w:p>
    <w:p w14:paraId="56FC44DE" w14:textId="42FA91B8" w:rsidR="00BC5720" w:rsidRPr="00D61538" w:rsidRDefault="00BC5720" w:rsidP="00BC5720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</w:rPr>
      </w:pPr>
      <w:r w:rsidRPr="00DD45E0">
        <w:rPr>
          <w:rStyle w:val="normaltextrun"/>
          <w:rFonts w:ascii="Calibri" w:hAnsi="Calibri" w:cs="Calibri"/>
        </w:rPr>
        <w:t xml:space="preserve">In caso di parità si assegna la preferenza </w:t>
      </w:r>
      <w:r>
        <w:rPr>
          <w:rStyle w:val="normaltextrun"/>
          <w:rFonts w:ascii="Calibri" w:hAnsi="Calibri" w:cs="Calibri"/>
        </w:rPr>
        <w:t>al candidato che ha maturato più esperienza nell’area</w:t>
      </w:r>
      <w:r>
        <w:rPr>
          <w:rStyle w:val="normaltextrun"/>
          <w:rFonts w:ascii="Calibri" w:hAnsi="Calibri" w:cs="Calibri"/>
        </w:rPr>
        <w:t xml:space="preserve"> professionale</w:t>
      </w:r>
      <w:r>
        <w:rPr>
          <w:rStyle w:val="normaltextrun"/>
          <w:rFonts w:ascii="Calibri" w:hAnsi="Calibri" w:cs="Calibri"/>
        </w:rPr>
        <w:t xml:space="preserve"> di provenienza e in caso di ulteriore parità </w:t>
      </w:r>
      <w:r w:rsidRPr="00DD45E0">
        <w:rPr>
          <w:rStyle w:val="normaltextrun"/>
          <w:rFonts w:ascii="Calibri" w:hAnsi="Calibri" w:cs="Calibri"/>
        </w:rPr>
        <w:t xml:space="preserve">al più </w:t>
      </w:r>
      <w:r>
        <w:rPr>
          <w:rStyle w:val="normaltextrun"/>
          <w:rFonts w:ascii="Calibri" w:hAnsi="Calibri" w:cs="Calibri"/>
        </w:rPr>
        <w:t>anziano</w:t>
      </w:r>
      <w:r w:rsidRPr="00DD45E0">
        <w:rPr>
          <w:rStyle w:val="normaltextrun"/>
          <w:rFonts w:ascii="Calibri" w:hAnsi="Calibri" w:cs="Calibri"/>
        </w:rPr>
        <w:t xml:space="preserve"> di età.</w:t>
      </w:r>
    </w:p>
    <w:p w14:paraId="025601A6" w14:textId="77777777" w:rsidR="00B1459B" w:rsidRPr="001E7917" w:rsidRDefault="00B1459B" w:rsidP="00B1459B">
      <w:pPr>
        <w:jc w:val="both"/>
        <w:rPr>
          <w:rFonts w:cstheme="minorHAnsi"/>
          <w:sz w:val="24"/>
          <w:szCs w:val="24"/>
        </w:rPr>
      </w:pPr>
    </w:p>
    <w:p w14:paraId="3889FF3E" w14:textId="0EE53DFC" w:rsidR="00B1459B" w:rsidRPr="00D61538" w:rsidRDefault="00B1459B" w:rsidP="00B1459B">
      <w:pPr>
        <w:pStyle w:val="Titolo1"/>
        <w:spacing w:before="0"/>
        <w:ind w:left="0" w:right="0"/>
        <w:jc w:val="both"/>
        <w:rPr>
          <w:rFonts w:asciiTheme="minorHAnsi" w:hAnsiTheme="minorHAnsi" w:cstheme="minorHAnsi"/>
          <w:bCs w:val="0"/>
          <w:caps/>
        </w:rPr>
      </w:pPr>
      <w:bookmarkStart w:id="2" w:name="_Toc130888519"/>
      <w:r w:rsidRPr="00D61538">
        <w:rPr>
          <w:rFonts w:asciiTheme="minorHAnsi" w:hAnsiTheme="minorHAnsi" w:cstheme="minorHAnsi"/>
          <w:bCs w:val="0"/>
          <w:caps/>
        </w:rPr>
        <w:t xml:space="preserve">ART. </w:t>
      </w:r>
      <w:r>
        <w:rPr>
          <w:rFonts w:asciiTheme="minorHAnsi" w:hAnsiTheme="minorHAnsi" w:cstheme="minorHAnsi"/>
          <w:bCs w:val="0"/>
          <w:caps/>
        </w:rPr>
        <w:t xml:space="preserve">2 </w:t>
      </w:r>
      <w:r w:rsidRPr="00D61538">
        <w:rPr>
          <w:rFonts w:asciiTheme="minorHAnsi" w:hAnsiTheme="minorHAnsi" w:cstheme="minorHAnsi"/>
          <w:bCs w:val="0"/>
          <w:caps/>
        </w:rPr>
        <w:t xml:space="preserve">– LE PROGRESSIONI TRA LE AREE </w:t>
      </w:r>
      <w:r>
        <w:rPr>
          <w:rFonts w:asciiTheme="minorHAnsi" w:hAnsiTheme="minorHAnsi" w:cstheme="minorHAnsi"/>
          <w:bCs w:val="0"/>
          <w:caps/>
        </w:rPr>
        <w:t>TRANSITORIE</w:t>
      </w:r>
      <w:bookmarkEnd w:id="2"/>
    </w:p>
    <w:p w14:paraId="2111C15F" w14:textId="77777777" w:rsidR="00B1459B" w:rsidRDefault="00B1459B" w:rsidP="00B1459B">
      <w:pPr>
        <w:pStyle w:val="Titolo1"/>
        <w:spacing w:before="0"/>
        <w:ind w:left="0" w:right="0"/>
        <w:jc w:val="both"/>
        <w:rPr>
          <w:rFonts w:asciiTheme="minorHAnsi" w:hAnsiTheme="minorHAnsi" w:cstheme="minorHAnsi"/>
        </w:rPr>
      </w:pPr>
    </w:p>
    <w:p w14:paraId="3B95386F" w14:textId="66A2DF67" w:rsidR="00BC5720" w:rsidRDefault="00B1459B" w:rsidP="00BC5720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In applicazione dell'art. 52 c. 1-bis del dlgs 165/2001 e dell’art. 13 c. 6 del CCNL Comparto Funzioni Locali del 16.11.2022</w:t>
      </w:r>
      <w:r w:rsidR="001C22F0">
        <w:rPr>
          <w:rStyle w:val="normaltextrun"/>
          <w:rFonts w:ascii="Calibri" w:hAnsi="Calibri" w:cs="Calibri"/>
        </w:rPr>
        <w:t xml:space="preserve"> (così come integrato dal</w:t>
      </w:r>
      <w:r w:rsidR="002F6FE5">
        <w:rPr>
          <w:rStyle w:val="normaltextrun"/>
          <w:rFonts w:ascii="Calibri" w:hAnsi="Calibri" w:cs="Calibri"/>
        </w:rPr>
        <w:t>l’art. 12 del</w:t>
      </w:r>
      <w:r w:rsidR="001C22F0">
        <w:rPr>
          <w:rStyle w:val="normaltextrun"/>
          <w:rFonts w:ascii="Calibri" w:hAnsi="Calibri" w:cs="Calibri"/>
        </w:rPr>
        <w:t xml:space="preserve"> CCNL del 23.02.2026)</w:t>
      </w:r>
      <w:r>
        <w:rPr>
          <w:rStyle w:val="normaltextrun"/>
          <w:rFonts w:ascii="Calibri" w:hAnsi="Calibri" w:cs="Calibri"/>
        </w:rPr>
        <w:t>, al fine di tener conto dell’esperienza e professionalità maturate ed effettivamente utilizzate dall</w:t>
      </w:r>
      <w:r w:rsidR="00184AA6">
        <w:rPr>
          <w:rStyle w:val="normaltextrun"/>
          <w:rFonts w:ascii="Calibri" w:hAnsi="Calibri" w:cs="Calibri"/>
        </w:rPr>
        <w:t xml:space="preserve">e </w:t>
      </w:r>
      <w:r>
        <w:rPr>
          <w:rStyle w:val="normaltextrun"/>
          <w:rFonts w:ascii="Calibri" w:hAnsi="Calibri" w:cs="Calibri"/>
        </w:rPr>
        <w:t>amministrazion</w:t>
      </w:r>
      <w:r w:rsidR="00184AA6">
        <w:rPr>
          <w:rStyle w:val="normaltextrun"/>
          <w:rFonts w:ascii="Calibri" w:hAnsi="Calibri" w:cs="Calibri"/>
        </w:rPr>
        <w:t>i</w:t>
      </w:r>
      <w:r>
        <w:rPr>
          <w:rStyle w:val="normaltextrun"/>
          <w:rFonts w:ascii="Calibri" w:hAnsi="Calibri" w:cs="Calibri"/>
        </w:rPr>
        <w:t xml:space="preserve"> di appartenenza, in fase di prima applicazione del nuovo ordinamento professionale e comunque entro il termine del 31 dicembre 202</w:t>
      </w:r>
      <w:r w:rsidR="001B4228">
        <w:rPr>
          <w:rStyle w:val="normaltextrun"/>
          <w:rFonts w:ascii="Calibri" w:hAnsi="Calibri" w:cs="Calibri"/>
        </w:rPr>
        <w:t>6</w:t>
      </w:r>
      <w:r>
        <w:rPr>
          <w:rStyle w:val="normaltextrun"/>
          <w:rFonts w:ascii="Calibri" w:hAnsi="Calibri" w:cs="Calibri"/>
        </w:rPr>
        <w:t xml:space="preserve">, la progressione tra le aree può aver luogo con procedure valutative cui sono ammessi i dipendenti in servizio in possesso dei requisiti indicati nella allegata Tabella C di Corrispondenza del CCNL, che non hanno ricevuto procedimenti disciplinari conclusi con sanzione superiore alla multa negli ultimi 2 anni, oltre che nell’anno corrente, in caso vi sia un procedimento disciplinare </w:t>
      </w:r>
      <w:r>
        <w:rPr>
          <w:rStyle w:val="normaltextrun"/>
          <w:rFonts w:ascii="Calibri" w:hAnsi="Calibri" w:cs="Calibri"/>
        </w:rPr>
        <w:lastRenderedPageBreak/>
        <w:t xml:space="preserve">pendente il dipendente viene ammesso con riserva e l’eventuale progressione sospesa fino alla conclusione del procedimento, </w:t>
      </w:r>
    </w:p>
    <w:p w14:paraId="63EC288B" w14:textId="77777777" w:rsidR="00BC5720" w:rsidRPr="00F8407F" w:rsidRDefault="00BC5720" w:rsidP="00BC5720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</w:rPr>
      </w:pPr>
      <w:r w:rsidRPr="00F8407F">
        <w:rPr>
          <w:rStyle w:val="normaltextrun"/>
          <w:rFonts w:ascii="Calibri" w:hAnsi="Calibri" w:cs="Calibri"/>
        </w:rPr>
        <w:t>A fronte di ogni singola progressione verticale interna va garantito l’equivalente accesso dall’esterno (mediante concorso pubblico o scorrimento di graduatoria concorsuale valida), mediante la programmazione di entrambe le procedure all’interno del PIAO del triennio di riferimento.</w:t>
      </w:r>
    </w:p>
    <w:p w14:paraId="75DC373B" w14:textId="77777777" w:rsidR="00BC5720" w:rsidRPr="00F8407F" w:rsidRDefault="00BC5720" w:rsidP="00BC5720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La valutazione comparativa si basata sull'analisi dei seguenti fattori:</w:t>
      </w:r>
      <w:r w:rsidRPr="00F8407F">
        <w:rPr>
          <w:rStyle w:val="normaltextrun"/>
        </w:rPr>
        <w:t> </w:t>
      </w:r>
    </w:p>
    <w:p w14:paraId="09CE1EF1" w14:textId="6724081C" w:rsidR="00B1459B" w:rsidRPr="00D61538" w:rsidRDefault="00B1459B" w:rsidP="00B1459B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a) Esperienza maturata nell’area </w:t>
      </w:r>
      <w:r w:rsidR="00BC5720">
        <w:rPr>
          <w:rStyle w:val="normaltextrun"/>
          <w:rFonts w:ascii="Calibri" w:hAnsi="Calibri" w:cs="Calibri"/>
        </w:rPr>
        <w:t xml:space="preserve">professionale </w:t>
      </w:r>
      <w:r>
        <w:rPr>
          <w:rStyle w:val="normaltextrun"/>
          <w:rFonts w:ascii="Calibri" w:hAnsi="Calibri" w:cs="Calibri"/>
        </w:rPr>
        <w:t>di provenienza (</w:t>
      </w:r>
      <w:r w:rsidR="0095563C">
        <w:rPr>
          <w:rStyle w:val="normaltextrun"/>
          <w:rFonts w:ascii="Calibri" w:hAnsi="Calibri" w:cs="Calibri"/>
        </w:rPr>
        <w:t>6</w:t>
      </w:r>
      <w:r>
        <w:rPr>
          <w:rStyle w:val="normaltextrun"/>
          <w:rFonts w:ascii="Calibri" w:hAnsi="Calibri" w:cs="Calibri"/>
        </w:rPr>
        <w:t>0 punti su 100);</w:t>
      </w:r>
      <w:r w:rsidRPr="00786B3E">
        <w:rPr>
          <w:rStyle w:val="normaltextrun"/>
          <w:rFonts w:ascii="Calibri" w:hAnsi="Calibri" w:cs="Calibri"/>
        </w:rPr>
        <w:t> </w:t>
      </w:r>
    </w:p>
    <w:p w14:paraId="4385B4A1" w14:textId="66B6AEE0" w:rsidR="00B1459B" w:rsidRPr="00D61538" w:rsidRDefault="00B1459B" w:rsidP="00BC5720">
      <w:pPr>
        <w:pStyle w:val="paragraph"/>
        <w:spacing w:before="0" w:beforeAutospacing="0" w:after="0" w:afterAutospacing="0"/>
        <w:ind w:left="708"/>
        <w:jc w:val="both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b) Titoli di studio scolastici e professionali riconosciuti attinenti con il profilo professionale oggetto della procedura (</w:t>
      </w:r>
      <w:r w:rsidR="002F6FE5">
        <w:rPr>
          <w:rStyle w:val="normaltextrun"/>
          <w:rFonts w:ascii="Calibri" w:hAnsi="Calibri" w:cs="Calibri"/>
        </w:rPr>
        <w:t>2</w:t>
      </w:r>
      <w:r>
        <w:rPr>
          <w:rStyle w:val="normaltextrun"/>
          <w:rFonts w:ascii="Calibri" w:hAnsi="Calibri" w:cs="Calibri"/>
        </w:rPr>
        <w:t>0 punti su 100);</w:t>
      </w:r>
      <w:r w:rsidRPr="00D61538">
        <w:rPr>
          <w:rStyle w:val="normaltextrun"/>
        </w:rPr>
        <w:t> </w:t>
      </w:r>
    </w:p>
    <w:p w14:paraId="7B6F5D5A" w14:textId="77777777" w:rsidR="00B1459B" w:rsidRDefault="00B1459B" w:rsidP="00BC5720">
      <w:pPr>
        <w:pStyle w:val="paragraph"/>
        <w:spacing w:before="0" w:beforeAutospacing="0" w:after="0" w:afterAutospacing="0"/>
        <w:ind w:left="708"/>
        <w:jc w:val="both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c) Competenze professionali acquisite con percorsi formativi, abilitazioni professionali, incarichi professionali rivestiti sia nella PA che in ambito privatistico attinenti con il profilo professionale oggetto della procedura (20 punti su 100).</w:t>
      </w:r>
    </w:p>
    <w:p w14:paraId="7A5D2FDE" w14:textId="20E835C1" w:rsidR="00B1459B" w:rsidRPr="00D61538" w:rsidRDefault="00B1459B" w:rsidP="00BC5720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</w:rPr>
      </w:pPr>
      <w:r w:rsidRPr="00DD45E0">
        <w:rPr>
          <w:rStyle w:val="normaltextrun"/>
          <w:rFonts w:ascii="Calibri" w:hAnsi="Calibri" w:cs="Calibri"/>
        </w:rPr>
        <w:t xml:space="preserve">In caso di parità si assegna la preferenza </w:t>
      </w:r>
      <w:r>
        <w:rPr>
          <w:rStyle w:val="normaltextrun"/>
          <w:rFonts w:ascii="Calibri" w:hAnsi="Calibri" w:cs="Calibri"/>
        </w:rPr>
        <w:t xml:space="preserve">al candidato che ha maturato più esperienza nell’area </w:t>
      </w:r>
      <w:r w:rsidR="00BC5720">
        <w:rPr>
          <w:rStyle w:val="normaltextrun"/>
          <w:rFonts w:ascii="Calibri" w:hAnsi="Calibri" w:cs="Calibri"/>
        </w:rPr>
        <w:t xml:space="preserve">professionale </w:t>
      </w:r>
      <w:r>
        <w:rPr>
          <w:rStyle w:val="normaltextrun"/>
          <w:rFonts w:ascii="Calibri" w:hAnsi="Calibri" w:cs="Calibri"/>
        </w:rPr>
        <w:t xml:space="preserve">di provenienza e in caso di ulteriore parità </w:t>
      </w:r>
      <w:r w:rsidRPr="00DD45E0">
        <w:rPr>
          <w:rStyle w:val="normaltextrun"/>
          <w:rFonts w:ascii="Calibri" w:hAnsi="Calibri" w:cs="Calibri"/>
        </w:rPr>
        <w:t xml:space="preserve">al più </w:t>
      </w:r>
      <w:r>
        <w:rPr>
          <w:rStyle w:val="normaltextrun"/>
          <w:rFonts w:ascii="Calibri" w:hAnsi="Calibri" w:cs="Calibri"/>
        </w:rPr>
        <w:t>anziano</w:t>
      </w:r>
      <w:r w:rsidRPr="00DD45E0">
        <w:rPr>
          <w:rStyle w:val="normaltextrun"/>
          <w:rFonts w:ascii="Calibri" w:hAnsi="Calibri" w:cs="Calibri"/>
        </w:rPr>
        <w:t xml:space="preserve"> di età.</w:t>
      </w:r>
    </w:p>
    <w:p w14:paraId="64024052" w14:textId="53BBA8F9" w:rsidR="00B1459B" w:rsidRPr="00B042CD" w:rsidRDefault="00B1459B" w:rsidP="00BC5720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Le progressioni di cui al comma 1, ivi comprese quelle di cui all’art. 93 e art. 107 del CCNL 2022 </w:t>
      </w:r>
      <w:r w:rsidRPr="00B042CD">
        <w:rPr>
          <w:rStyle w:val="normaltextrun"/>
          <w:rFonts w:ascii="Calibri" w:hAnsi="Calibri" w:cs="Calibri"/>
        </w:rPr>
        <w:t>Progressioni all’Area Funzionari ed EQ per il personale educativo, docente ed insegnante inquadrato nell’Area Istruttori, nella fase di prima applicazione)</w:t>
      </w:r>
      <w:r>
        <w:rPr>
          <w:rStyle w:val="normaltextrun"/>
          <w:rFonts w:ascii="Calibri" w:hAnsi="Calibri" w:cs="Calibri"/>
        </w:rPr>
        <w:t>, sono anche finanziate mediante l’utilizzo delle risorse determinate ai sensi dell’art. 1 c. 612 della L. n. 234 del 30.12.2021 (Legge di Bilancio 2022), in misura non superiore allo 0,55% del monte salari dell’anno 2018</w:t>
      </w:r>
      <w:r w:rsidR="001F227D">
        <w:rPr>
          <w:rStyle w:val="normaltextrun"/>
          <w:rFonts w:ascii="Calibri" w:hAnsi="Calibri" w:cs="Calibri"/>
        </w:rPr>
        <w:t xml:space="preserve"> (budget unico a </w:t>
      </w:r>
      <w:r w:rsidR="00F8407F">
        <w:rPr>
          <w:rStyle w:val="normaltextrun"/>
          <w:rFonts w:ascii="Calibri" w:hAnsi="Calibri" w:cs="Calibri"/>
        </w:rPr>
        <w:t>esaurimento</w:t>
      </w:r>
      <w:r w:rsidR="001F227D">
        <w:rPr>
          <w:rStyle w:val="normaltextrun"/>
          <w:rFonts w:ascii="Calibri" w:hAnsi="Calibri" w:cs="Calibri"/>
        </w:rPr>
        <w:t>)</w:t>
      </w:r>
      <w:r w:rsidR="00F8407F">
        <w:rPr>
          <w:rStyle w:val="normaltextrun"/>
          <w:rFonts w:ascii="Calibri" w:hAnsi="Calibri" w:cs="Calibri"/>
        </w:rPr>
        <w:t xml:space="preserve">, </w:t>
      </w:r>
      <w:r w:rsidR="00BC5720">
        <w:rPr>
          <w:rStyle w:val="normaltextrun"/>
          <w:rFonts w:ascii="Calibri" w:hAnsi="Calibri" w:cs="Calibri"/>
        </w:rPr>
        <w:t xml:space="preserve">soltanto </w:t>
      </w:r>
      <w:r w:rsidR="00F8407F">
        <w:rPr>
          <w:rStyle w:val="normaltextrun"/>
          <w:rFonts w:ascii="Calibri" w:hAnsi="Calibri" w:cs="Calibri"/>
        </w:rPr>
        <w:t xml:space="preserve">in caso di completo finanziamento </w:t>
      </w:r>
      <w:r w:rsidR="00BC5720">
        <w:rPr>
          <w:rStyle w:val="normaltextrun"/>
          <w:rFonts w:ascii="Calibri" w:hAnsi="Calibri" w:cs="Calibri"/>
        </w:rPr>
        <w:t xml:space="preserve">delle progressioni </w:t>
      </w:r>
      <w:r w:rsidR="00F8407F">
        <w:rPr>
          <w:rStyle w:val="normaltextrun"/>
          <w:rFonts w:ascii="Calibri" w:hAnsi="Calibri" w:cs="Calibri"/>
        </w:rPr>
        <w:t>con il presente budget dedicato, si deroga all’equivalente obbligo di accesso dall’esterno</w:t>
      </w:r>
      <w:r>
        <w:rPr>
          <w:rStyle w:val="normaltextrun"/>
          <w:rFonts w:ascii="Calibri" w:hAnsi="Calibri" w:cs="Calibri"/>
        </w:rPr>
        <w:t>.</w:t>
      </w:r>
      <w:r w:rsidRPr="00D61538">
        <w:rPr>
          <w:rStyle w:val="normaltextrun"/>
          <w:rFonts w:ascii="Calibri" w:hAnsi="Calibri" w:cs="Calibri"/>
        </w:rPr>
        <w:t> </w:t>
      </w:r>
    </w:p>
    <w:p w14:paraId="2447439E" w14:textId="77777777" w:rsidR="005D5FF2" w:rsidRDefault="005D5FF2"/>
    <w:sectPr w:rsidR="005D5FF2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ACA52" w14:textId="77777777" w:rsidR="00AC7EAB" w:rsidRDefault="00AC7EAB" w:rsidP="0017288E">
      <w:pPr>
        <w:spacing w:after="0" w:line="240" w:lineRule="auto"/>
      </w:pPr>
      <w:r>
        <w:separator/>
      </w:r>
    </w:p>
  </w:endnote>
  <w:endnote w:type="continuationSeparator" w:id="0">
    <w:p w14:paraId="230FBB67" w14:textId="77777777" w:rsidR="00AC7EAB" w:rsidRDefault="00AC7EAB" w:rsidP="00172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228467"/>
      <w:docPartObj>
        <w:docPartGallery w:val="Page Numbers (Bottom of Page)"/>
        <w:docPartUnique/>
      </w:docPartObj>
    </w:sdtPr>
    <w:sdtContent>
      <w:p w14:paraId="7E0D9939" w14:textId="50ACD1E7" w:rsidR="0017288E" w:rsidRDefault="0017288E">
        <w:pPr>
          <w:pStyle w:val="Pidipagina"/>
          <w:jc w:val="right"/>
        </w:pPr>
        <w:hyperlink r:id="rId1" w:history="1">
          <w:r w:rsidRPr="0017288E">
            <w:rPr>
              <w:rStyle w:val="Collegamentoipertestuale"/>
              <w:i/>
              <w:iCs/>
            </w:rPr>
            <w:t>www.carmignaniconsulenza.com</w:t>
          </w:r>
        </w:hyperlink>
        <w:r>
          <w:rPr>
            <w:i/>
            <w:iCs/>
          </w:rPr>
          <w:tab/>
        </w:r>
        <w:r>
          <w:rPr>
            <w:i/>
            <w:iCs/>
          </w:rPr>
          <w:tab/>
        </w: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08D118" w14:textId="77777777" w:rsidR="0017288E" w:rsidRDefault="0017288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40EC9" w14:textId="77777777" w:rsidR="00AC7EAB" w:rsidRDefault="00AC7EAB" w:rsidP="0017288E">
      <w:pPr>
        <w:spacing w:after="0" w:line="240" w:lineRule="auto"/>
      </w:pPr>
      <w:r>
        <w:separator/>
      </w:r>
    </w:p>
  </w:footnote>
  <w:footnote w:type="continuationSeparator" w:id="0">
    <w:p w14:paraId="08C7F130" w14:textId="77777777" w:rsidR="00AC7EAB" w:rsidRDefault="00AC7EAB" w:rsidP="001728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05B1D"/>
    <w:multiLevelType w:val="hybridMultilevel"/>
    <w:tmpl w:val="2760F7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E23DF3"/>
    <w:multiLevelType w:val="hybridMultilevel"/>
    <w:tmpl w:val="6A7EBB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385932">
    <w:abstractNumId w:val="1"/>
  </w:num>
  <w:num w:numId="2" w16cid:durableId="1324579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36A"/>
    <w:rsid w:val="0017288E"/>
    <w:rsid w:val="00184AA6"/>
    <w:rsid w:val="001B4228"/>
    <w:rsid w:val="001C22F0"/>
    <w:rsid w:val="001F227D"/>
    <w:rsid w:val="002234C2"/>
    <w:rsid w:val="00243252"/>
    <w:rsid w:val="002F6FE5"/>
    <w:rsid w:val="00454262"/>
    <w:rsid w:val="00550243"/>
    <w:rsid w:val="005D5FF2"/>
    <w:rsid w:val="00755FB4"/>
    <w:rsid w:val="007727B0"/>
    <w:rsid w:val="0083242B"/>
    <w:rsid w:val="009335DE"/>
    <w:rsid w:val="0093662B"/>
    <w:rsid w:val="0095563C"/>
    <w:rsid w:val="00A10468"/>
    <w:rsid w:val="00A7416F"/>
    <w:rsid w:val="00AA1D03"/>
    <w:rsid w:val="00AC7EAB"/>
    <w:rsid w:val="00AF31E6"/>
    <w:rsid w:val="00B042CD"/>
    <w:rsid w:val="00B1459B"/>
    <w:rsid w:val="00B6475F"/>
    <w:rsid w:val="00BC5720"/>
    <w:rsid w:val="00DC2353"/>
    <w:rsid w:val="00E84DCC"/>
    <w:rsid w:val="00F46C69"/>
    <w:rsid w:val="00F8407F"/>
    <w:rsid w:val="00F9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6552E"/>
  <w15:chartTrackingRefBased/>
  <w15:docId w15:val="{DB32ACB1-5F3A-493C-88B2-8E3C04FC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9335DE"/>
    <w:pPr>
      <w:widowControl w:val="0"/>
      <w:autoSpaceDE w:val="0"/>
      <w:autoSpaceDN w:val="0"/>
      <w:spacing w:before="1" w:after="0" w:line="240" w:lineRule="auto"/>
      <w:ind w:left="200" w:right="695"/>
      <w:jc w:val="center"/>
      <w:outlineLvl w:val="0"/>
    </w:pPr>
    <w:rPr>
      <w:rFonts w:ascii="Verdana" w:eastAsia="Verdana" w:hAnsi="Verdana" w:cs="Verdana"/>
      <w:b/>
      <w:bCs/>
      <w:sz w:val="24"/>
      <w:szCs w:val="24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9335DE"/>
    <w:rPr>
      <w:rFonts w:ascii="Verdana" w:eastAsia="Verdana" w:hAnsi="Verdana" w:cs="Verdana"/>
      <w:b/>
      <w:bCs/>
      <w:sz w:val="24"/>
      <w:szCs w:val="24"/>
      <w:lang w:eastAsia="it-IT" w:bidi="it-IT"/>
    </w:rPr>
  </w:style>
  <w:style w:type="paragraph" w:customStyle="1" w:styleId="paragraph">
    <w:name w:val="paragraph"/>
    <w:basedOn w:val="Normale"/>
    <w:rsid w:val="00933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9335DE"/>
  </w:style>
  <w:style w:type="character" w:customStyle="1" w:styleId="eop">
    <w:name w:val="eop"/>
    <w:basedOn w:val="Carpredefinitoparagrafo"/>
    <w:rsid w:val="009335DE"/>
  </w:style>
  <w:style w:type="paragraph" w:styleId="Intestazione">
    <w:name w:val="header"/>
    <w:basedOn w:val="Normale"/>
    <w:link w:val="IntestazioneCarattere"/>
    <w:uiPriority w:val="99"/>
    <w:unhideWhenUsed/>
    <w:rsid w:val="001728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288E"/>
  </w:style>
  <w:style w:type="paragraph" w:styleId="Pidipagina">
    <w:name w:val="footer"/>
    <w:basedOn w:val="Normale"/>
    <w:link w:val="PidipaginaCarattere"/>
    <w:uiPriority w:val="99"/>
    <w:unhideWhenUsed/>
    <w:rsid w:val="001728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288E"/>
  </w:style>
  <w:style w:type="character" w:styleId="Collegamentoipertestuale">
    <w:name w:val="Hyperlink"/>
    <w:basedOn w:val="Carpredefinitoparagrafo"/>
    <w:uiPriority w:val="99"/>
    <w:unhideWhenUsed/>
    <w:rsid w:val="0017288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7288E"/>
    <w:rPr>
      <w:color w:val="605E5C"/>
      <w:shd w:val="clear" w:color="auto" w:fill="E1DFDD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4325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43252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rmignaniconsulenza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carmignani</dc:creator>
  <cp:keywords/>
  <dc:description/>
  <cp:lastModifiedBy>simone carmignani carmignaniconsulenza srls</cp:lastModifiedBy>
  <cp:revision>24</cp:revision>
  <dcterms:created xsi:type="dcterms:W3CDTF">2023-03-28T06:36:00Z</dcterms:created>
  <dcterms:modified xsi:type="dcterms:W3CDTF">2026-04-20T10:55:00Z</dcterms:modified>
</cp:coreProperties>
</file>