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CECBD" w14:textId="5A078E7E" w:rsidR="0085344B" w:rsidRPr="00035E5D" w:rsidRDefault="00000000" w:rsidP="00035E5D">
      <w:pPr>
        <w:pStyle w:val="Titolo1"/>
        <w:spacing w:before="0" w:after="120" w:line="275" w:lineRule="auto"/>
        <w:jc w:val="both"/>
        <w:rPr>
          <w:rFonts w:asciiTheme="majorHAnsi" w:eastAsia="Google Sans" w:hAnsiTheme="majorHAnsi" w:cstheme="majorHAnsi"/>
          <w:color w:val="1B1C1D"/>
          <w:sz w:val="24"/>
          <w:szCs w:val="24"/>
        </w:rPr>
      </w:pPr>
      <w:r w:rsidRPr="00035E5D">
        <w:rPr>
          <w:rFonts w:asciiTheme="majorHAnsi" w:eastAsia="Google Sans" w:hAnsiTheme="majorHAnsi" w:cstheme="majorHAnsi"/>
          <w:color w:val="1B1C1D"/>
          <w:sz w:val="24"/>
          <w:szCs w:val="24"/>
        </w:rPr>
        <w:t>PROPOSTA DI DELIBERAZIONE DELLA GIUNTA COMUNALE</w:t>
      </w:r>
      <w:r w:rsidR="00035E5D">
        <w:rPr>
          <w:rFonts w:asciiTheme="majorHAnsi" w:eastAsia="Google Sans" w:hAnsiTheme="majorHAnsi" w:cstheme="majorHAnsi"/>
          <w:color w:val="1B1C1D"/>
          <w:sz w:val="24"/>
          <w:szCs w:val="24"/>
        </w:rPr>
        <w:t xml:space="preserve">: </w:t>
      </w:r>
      <w:r w:rsidRPr="00035E5D">
        <w:rPr>
          <w:rFonts w:asciiTheme="majorHAnsi" w:eastAsia="Google Sans" w:hAnsiTheme="majorHAnsi" w:cstheme="majorHAnsi"/>
          <w:color w:val="1B1C1D"/>
          <w:sz w:val="24"/>
          <w:szCs w:val="24"/>
        </w:rPr>
        <w:t>ATTO DI INDIRIZZO E DIRETTIVE PER LA QUANTIFICAZIONE E L'INCREMENTO DEL FONDO DEL SALARIO ACCESSORIO DEL PERSONALE DEL COMPARTO FUNZIONI LOCALI (EX ART. 79 CCNL 16.11.2022) IN DEROGA AL LIMITE DI SPESA (EX ART. 23, C. 2, D.LGS. N. 75/2017) AI SENSI DELL'ART. 14, C. 1-BIS, DEL D.L. N. 25/2025</w:t>
      </w:r>
    </w:p>
    <w:p w14:paraId="05CCECBF" w14:textId="77777777"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LA GIUNTA COMUNALE</w:t>
      </w:r>
    </w:p>
    <w:p w14:paraId="05CCECC0" w14:textId="77777777"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(Omissis: Visti statutari e regolamentari, riscontrato il rispetto della normativa in materia di procedure e adempimenti per l'adozione degli atti di competenza dell'organo esecutivo).</w:t>
      </w:r>
    </w:p>
    <w:p w14:paraId="05CCECC2" w14:textId="77777777" w:rsidR="0085344B" w:rsidRPr="00035E5D" w:rsidRDefault="00000000" w:rsidP="006D21A9">
      <w:pPr>
        <w:pStyle w:val="Titolo3"/>
        <w:spacing w:before="0" w:after="120" w:line="275" w:lineRule="auto"/>
        <w:jc w:val="both"/>
        <w:rPr>
          <w:rFonts w:asciiTheme="majorHAnsi" w:eastAsia="Google Sans" w:hAnsiTheme="majorHAnsi" w:cstheme="majorHAnsi"/>
          <w:b w:val="0"/>
          <w:bCs w:val="0"/>
          <w:color w:val="1B1C1D"/>
          <w:sz w:val="24"/>
          <w:szCs w:val="24"/>
        </w:rPr>
      </w:pPr>
      <w:r w:rsidRPr="00035E5D">
        <w:rPr>
          <w:rFonts w:asciiTheme="majorHAnsi" w:eastAsia="Google Sans" w:hAnsiTheme="majorHAnsi" w:cstheme="majorHAnsi"/>
          <w:b w:val="0"/>
          <w:bCs w:val="0"/>
          <w:color w:val="1B1C1D"/>
          <w:sz w:val="24"/>
          <w:szCs w:val="24"/>
        </w:rPr>
        <w:t>Visti e Richiami Normativi (Giustificazione Istituzionale)</w:t>
      </w:r>
    </w:p>
    <w:p w14:paraId="05CCECC5" w14:textId="77777777" w:rsidR="0085344B" w:rsidRPr="00035E5D" w:rsidRDefault="00000000" w:rsidP="006D21A9">
      <w:pPr>
        <w:pStyle w:val="Titolo4"/>
        <w:spacing w:before="0" w:after="120" w:line="275" w:lineRule="auto"/>
        <w:jc w:val="both"/>
        <w:rPr>
          <w:rFonts w:asciiTheme="majorHAnsi" w:eastAsia="Google Sans" w:hAnsiTheme="majorHAnsi" w:cstheme="majorHAnsi"/>
          <w:b w:val="0"/>
          <w:bCs w:val="0"/>
          <w:color w:val="1B1C1D"/>
        </w:rPr>
      </w:pPr>
      <w:r w:rsidRPr="00035E5D">
        <w:rPr>
          <w:rFonts w:asciiTheme="majorHAnsi" w:eastAsia="Google Sans" w:hAnsiTheme="majorHAnsi" w:cstheme="majorHAnsi"/>
          <w:b w:val="0"/>
          <w:bCs w:val="0"/>
          <w:color w:val="1B1C1D"/>
        </w:rPr>
        <w:t>Inquadramento della Deroga e Armonizzazione del Salario Accessorio</w:t>
      </w:r>
    </w:p>
    <w:p w14:paraId="05CCECC7" w14:textId="7D9D57B3"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VISTO il Decreto Legislativo 25 maggio 2017, n. 75, e in particolare l'Articolo 23, comma 2, il quale stabilisce, al fine di assicurare l'invarianza della spesa e la progressiva armonizzazione dei trattamenti economici accessori, che l'ammontare complessivo delle risorse destinate annualmente al trattamento accessorio del personale (anche dirigenziale) di ciascuna amministrazione pubblica non possa superare il corrispondente importo determinato per l'anno 2016. Tale disposizione ha storicamente imposto un limite rigido alla capacità dell'Ente di incentivare economicamente il proprio personale.</w:t>
      </w:r>
    </w:p>
    <w:p w14:paraId="05CCECC8" w14:textId="6FE6A037"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RICHIAMATO l'Articolo 14, comma 1-bis, del Decreto Legge n. 25 del 2025 (e successive modificazioni e integrazioni), il quale, a decorrere dall'anno 2025, introduce per i Comuni la facoltà di incrementare il Fondo per il trattamento accessorio in deroga al citato limite di cui all'Art. 23, comma 2, D.Lgs. 75/2017.</w:t>
      </w:r>
    </w:p>
    <w:p w14:paraId="05CCECCA" w14:textId="6D172F1C"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PRESO ATTO che l'obiettivo normativo di questa deroga è perseguire l'armonizzazione del trattamento accessorio del personale dipendente e superare i blocchi tecnici che, negli anni precedenti, hanno limitato l'autonomia organizzativa e la valorizzazione del merito nei Comuni. Tale possibilità rappresenta una scelta strategica e politica dell'organo esecutivo dell'Ente, finalizzata all'investimento nel capitale umano e al miglioramento dei servizi, nei limiti delle disponibilità finanziarie.</w:t>
      </w:r>
    </w:p>
    <w:p w14:paraId="05CCECCB" w14:textId="77777777" w:rsidR="0085344B" w:rsidRPr="00035E5D" w:rsidRDefault="00000000" w:rsidP="006D21A9">
      <w:pPr>
        <w:pStyle w:val="Titolo4"/>
        <w:spacing w:before="0" w:after="120" w:line="275" w:lineRule="auto"/>
        <w:jc w:val="both"/>
        <w:rPr>
          <w:rFonts w:asciiTheme="majorHAnsi" w:eastAsia="Google Sans" w:hAnsiTheme="majorHAnsi" w:cstheme="majorHAnsi"/>
          <w:b w:val="0"/>
          <w:bCs w:val="0"/>
          <w:color w:val="1B1C1D"/>
        </w:rPr>
      </w:pPr>
      <w:r w:rsidRPr="00035E5D">
        <w:rPr>
          <w:rFonts w:asciiTheme="majorHAnsi" w:eastAsia="Google Sans" w:hAnsiTheme="majorHAnsi" w:cstheme="majorHAnsi"/>
          <w:b w:val="0"/>
          <w:bCs w:val="0"/>
          <w:color w:val="1B1C1D"/>
        </w:rPr>
        <w:t>I Vincoli di Sostenibilità Finanziaria per l'Accesso alla Deroga</w:t>
      </w:r>
    </w:p>
    <w:p w14:paraId="05CCECCD" w14:textId="42D8A25E"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CONSIDERATO che la facoltà di incremento in deroga, conferita dall'Art. 14, comma 1-bis, D.L. n. 25/2025, è rigorosamente condizionata al rispetto dei vincoli in materia di spesa di personale.</w:t>
      </w:r>
    </w:p>
    <w:p w14:paraId="05CCECCE" w14:textId="4AC73DEE"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 xml:space="preserve">VISTO l'Art. 33, commi 1, 1-bis e 2, del Decreto Legge n. 34 del 2019, che definisce la sostenibilità finanziaria della spesa di personale per gli Enti Locali. Il rispetto di tale disciplina è un requisito imprescindibile per l'accesso alla deroga. Il rispetto di tale vincolo implica che il rapporto tra la spesa complessiva di personale e la media delle entrate correnti relative agli ultimi tre rendiconti approvati non risulti superiore al </w:t>
      </w:r>
      <w:r w:rsidRPr="00035E5D">
        <w:rPr>
          <w:rFonts w:asciiTheme="majorHAnsi" w:eastAsia="Google Sans Text" w:hAnsiTheme="majorHAnsi" w:cstheme="majorHAnsi"/>
          <w:i/>
          <w:iCs/>
          <w:color w:val="1B1C1D"/>
          <w:sz w:val="24"/>
          <w:szCs w:val="24"/>
        </w:rPr>
        <w:t>Valore Soglia di Incidenza</w:t>
      </w:r>
      <w:r w:rsidRPr="00035E5D">
        <w:rPr>
          <w:rFonts w:asciiTheme="majorHAnsi" w:eastAsia="Google Sans Text" w:hAnsiTheme="majorHAnsi" w:cstheme="majorHAnsi"/>
          <w:color w:val="1B1C1D"/>
          <w:sz w:val="24"/>
          <w:szCs w:val="24"/>
        </w:rPr>
        <w:t xml:space="preserve"> stabilito per fascia demografica (Tabella 1 del D.M. attuativo).</w:t>
      </w:r>
    </w:p>
    <w:p w14:paraId="05CCECCF" w14:textId="2D772921"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 xml:space="preserve">RICHIAMATI altresì i limiti generali di spesa di personale di cui all'Art. 1, commi 557 e 562, della Legge </w:t>
      </w:r>
      <w:r w:rsidRPr="00035E5D">
        <w:rPr>
          <w:rFonts w:asciiTheme="majorHAnsi" w:eastAsia="Google Sans Text" w:hAnsiTheme="majorHAnsi" w:cstheme="majorHAnsi"/>
          <w:color w:val="1B1C1D"/>
          <w:sz w:val="24"/>
          <w:szCs w:val="24"/>
        </w:rPr>
        <w:lastRenderedPageBreak/>
        <w:t>n. 296 del 2006, la cui osservanza assicura la coerenza programmatica e finanziaria delle scelte in materia di gestione delle risorse umane. L'accesso alla deroga si configura, dunque, come un premio di virtuosità strettamente correlato alla gestione finanziaria complessiva dell'Ente.</w:t>
      </w:r>
    </w:p>
    <w:p w14:paraId="05CCECD0" w14:textId="6B2391C7"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DATO ATTO che la norma richiede esplicitamente che l'incremento avvenga nel rispetto dell'equilibrio pluriennale di bilancio, il quale deve essere formalmente asseverato dall'Organo di Revisione dell'Ente.</w:t>
      </w:r>
    </w:p>
    <w:p w14:paraId="05CCECD1" w14:textId="3AA2DD8D"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VISTO il Contratto Collettivo Nazionale di Lavoro (CCNL) del Comparto Funzioni Locali sottoscritto il 16 novembre 2022, in particolare l'Articolo 79, relativo alla Costituzione del Fondo delle Risorse Decentrate. Si evidenzia che l'Art. 79, comma 6, stabilisce che il limite di spesa di cui all'Art. 23, comma 2, D.Lgs. 75/2017, non si applica alle risorse che siano escluse dal predetto limite in base alle specifiche disposizioni di legge. Le risorse incrementali derivanti dal D.L. 25/2025 rientrano in questa fattispecie.</w:t>
      </w:r>
    </w:p>
    <w:p w14:paraId="05CCECD3" w14:textId="77777777" w:rsidR="0085344B" w:rsidRPr="00035E5D" w:rsidRDefault="00000000" w:rsidP="006D21A9">
      <w:pPr>
        <w:pStyle w:val="Titolo3"/>
        <w:spacing w:before="0" w:after="120" w:line="275" w:lineRule="auto"/>
        <w:jc w:val="both"/>
        <w:rPr>
          <w:rFonts w:asciiTheme="majorHAnsi" w:eastAsia="Google Sans" w:hAnsiTheme="majorHAnsi" w:cstheme="majorHAnsi"/>
          <w:b w:val="0"/>
          <w:bCs w:val="0"/>
          <w:color w:val="1B1C1D"/>
          <w:sz w:val="24"/>
          <w:szCs w:val="24"/>
        </w:rPr>
      </w:pPr>
      <w:r w:rsidRPr="00035E5D">
        <w:rPr>
          <w:rFonts w:asciiTheme="majorHAnsi" w:eastAsia="Google Sans" w:hAnsiTheme="majorHAnsi" w:cstheme="majorHAnsi"/>
          <w:b w:val="0"/>
          <w:bCs w:val="0"/>
          <w:color w:val="1B1C1D"/>
          <w:sz w:val="24"/>
          <w:szCs w:val="24"/>
        </w:rPr>
        <w:t>Dato Atto Che (Metodologia di Funzionamento per l'Incremento)</w:t>
      </w:r>
    </w:p>
    <w:p w14:paraId="05CCECD7" w14:textId="7348B96E" w:rsidR="0085344B" w:rsidRPr="00035E5D" w:rsidRDefault="00000000" w:rsidP="006D21A9">
      <w:pPr>
        <w:pStyle w:val="Titolo4"/>
        <w:spacing w:before="0" w:after="120" w:line="275" w:lineRule="auto"/>
        <w:jc w:val="both"/>
        <w:rPr>
          <w:rFonts w:asciiTheme="majorHAnsi" w:eastAsia="Google Sans" w:hAnsiTheme="majorHAnsi" w:cstheme="majorHAnsi"/>
          <w:b w:val="0"/>
          <w:bCs w:val="0"/>
          <w:color w:val="1B1C1D"/>
        </w:rPr>
      </w:pPr>
      <w:r w:rsidRPr="00035E5D">
        <w:rPr>
          <w:rFonts w:asciiTheme="majorHAnsi" w:eastAsia="Google Sans" w:hAnsiTheme="majorHAnsi" w:cstheme="majorHAnsi"/>
          <w:b w:val="0"/>
          <w:bCs w:val="0"/>
          <w:color w:val="1B1C1D"/>
        </w:rPr>
        <w:t>Metodologia di Calcolo del Limite Massimale (Plafond 48%)</w:t>
      </w:r>
    </w:p>
    <w:p w14:paraId="05CCECD8" w14:textId="0261C6BB"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 xml:space="preserve">La Ragioneria Generale dello Stato, con riferimento all'Art. 14, comma 1-bis, ha fornito chiarimenti sulla metodologia di quantificazione delle risorse incrementali. Tale metodologia definisce un limite massimale, detto </w:t>
      </w:r>
      <w:r w:rsidRPr="00035E5D">
        <w:rPr>
          <w:rFonts w:asciiTheme="majorHAnsi" w:eastAsia="Google Sans Text" w:hAnsiTheme="majorHAnsi" w:cstheme="majorHAnsi"/>
          <w:i/>
          <w:iCs/>
          <w:color w:val="1B1C1D"/>
          <w:sz w:val="24"/>
          <w:szCs w:val="24"/>
        </w:rPr>
        <w:t>Plafond 48%</w:t>
      </w:r>
      <w:r w:rsidRPr="00035E5D">
        <w:rPr>
          <w:rFonts w:asciiTheme="majorHAnsi" w:eastAsia="Google Sans Text" w:hAnsiTheme="majorHAnsi" w:cstheme="majorHAnsi"/>
          <w:color w:val="1B1C1D"/>
          <w:sz w:val="24"/>
          <w:szCs w:val="24"/>
        </w:rPr>
        <w:t>, fino al quale la componente stabile del Fondo può essere incrementata.</w:t>
      </w:r>
    </w:p>
    <w:p w14:paraId="05CCECD9" w14:textId="47FEAC38"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Il Plafond Massimo rappresenta il tetto superiore raggiungibile dalla somma complessiva delle risorse stabili del Fondo Decentrato e degli importi destinati alla remunerazione degli incarichi di Elevata Qualificazione (EQ).</w:t>
      </w:r>
    </w:p>
    <w:p w14:paraId="05CCECDA" w14:textId="1021B28B"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Il limite massimale viene calcolato sulla base della spesa complessivamente sostenuta nell'anno 2023 per gli stipendi tabellari delle categorie e delle aree professionali (personale non dirigente).</w:t>
      </w:r>
    </w:p>
    <w:p w14:paraId="05CCECDB" w14:textId="4A0E72D0"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Il calcolo dello Spazio di Incremento Residuale (SIR), ovvero l'importo massimo in deroga che può essere aggiunto al Fondo Stabile, è dato dalla differenza tra il Plafond Massimale così determinato e le risorse già stabilmente confluite nel Fondo 2025, inclusa la spesa per la remunerazione degli incarichi di Elevata Qualificazione (EQ). L'inclusione della spesa per le EQ nel calcolo del 48% è cruciale per assicurare che l'incremento rispetti la sostenibilità complessiva della massa accessoria, garantendo che gli enti mantengano la spesa complessiva di personale entro i parametri stabiliti dall'Art. 33 del D.L. 34/2019.</w:t>
      </w:r>
    </w:p>
    <w:p w14:paraId="05CCECFB" w14:textId="77777777" w:rsidR="0085344B" w:rsidRPr="00035E5D" w:rsidRDefault="00000000" w:rsidP="006D21A9">
      <w:pPr>
        <w:pStyle w:val="Titolo3"/>
        <w:spacing w:before="0" w:after="120" w:line="275" w:lineRule="auto"/>
        <w:jc w:val="both"/>
        <w:rPr>
          <w:rFonts w:asciiTheme="majorHAnsi" w:eastAsia="Google Sans" w:hAnsiTheme="majorHAnsi" w:cstheme="majorHAnsi"/>
          <w:b w:val="0"/>
          <w:bCs w:val="0"/>
          <w:color w:val="1B1C1D"/>
          <w:sz w:val="24"/>
          <w:szCs w:val="24"/>
        </w:rPr>
      </w:pPr>
      <w:r w:rsidRPr="00035E5D">
        <w:rPr>
          <w:rFonts w:asciiTheme="majorHAnsi" w:eastAsia="Google Sans" w:hAnsiTheme="majorHAnsi" w:cstheme="majorHAnsi"/>
          <w:b w:val="0"/>
          <w:bCs w:val="0"/>
          <w:color w:val="1B1C1D"/>
          <w:sz w:val="24"/>
          <w:szCs w:val="24"/>
        </w:rPr>
        <w:t>Ritenuto</w:t>
      </w:r>
    </w:p>
    <w:p w14:paraId="05CCECFD" w14:textId="77777777"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Di procedere con l'attuazione dell'Art. 14, comma 1-bis, D.L. n. 25/2025, per l'anno corrente (2025), garantendo il rispetto del principio di coerenza e sostenibilità della spesa, e subordinando l'effettiva quantificazione dell'incremento alla preventiva verifica dei requisiti di virtuosità finanziaria e all'asseverazione dell'equilibrio pluriennale di bilancio.</w:t>
      </w:r>
    </w:p>
    <w:p w14:paraId="05CCED00" w14:textId="6685214D" w:rsidR="0085344B" w:rsidRPr="00035E5D" w:rsidRDefault="00000000" w:rsidP="00015E36">
      <w:pPr>
        <w:pStyle w:val="Titolo3"/>
        <w:spacing w:before="0" w:after="120" w:line="275" w:lineRule="auto"/>
        <w:jc w:val="both"/>
        <w:rPr>
          <w:rFonts w:asciiTheme="majorHAnsi" w:eastAsia="Google Sans" w:hAnsiTheme="majorHAnsi" w:cstheme="majorHAnsi"/>
          <w:b w:val="0"/>
          <w:bCs w:val="0"/>
          <w:color w:val="1B1C1D"/>
          <w:sz w:val="24"/>
          <w:szCs w:val="24"/>
        </w:rPr>
      </w:pPr>
      <w:r w:rsidRPr="00035E5D">
        <w:rPr>
          <w:rFonts w:asciiTheme="majorHAnsi" w:eastAsia="Google Sans" w:hAnsiTheme="majorHAnsi" w:cstheme="majorHAnsi"/>
          <w:b w:val="0"/>
          <w:bCs w:val="0"/>
          <w:color w:val="1B1C1D"/>
          <w:sz w:val="24"/>
          <w:szCs w:val="24"/>
        </w:rPr>
        <w:t>DELIBERA</w:t>
      </w:r>
    </w:p>
    <w:p w14:paraId="05CCED02" w14:textId="585D5344"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lastRenderedPageBreak/>
        <w:t>Per le motivazioni espresse in premessa, che qui si intendono integralmente riportate:</w:t>
      </w:r>
    </w:p>
    <w:p w14:paraId="05CCED04" w14:textId="260A3E2D" w:rsidR="0085344B" w:rsidRPr="00035E5D" w:rsidRDefault="00000000" w:rsidP="00015E36">
      <w:pPr>
        <w:pStyle w:val="Titolo4"/>
        <w:spacing w:before="0" w:after="120" w:line="275" w:lineRule="auto"/>
        <w:jc w:val="both"/>
        <w:rPr>
          <w:rFonts w:asciiTheme="majorHAnsi" w:eastAsia="Google Sans" w:hAnsiTheme="majorHAnsi" w:cstheme="majorHAnsi"/>
          <w:b w:val="0"/>
          <w:bCs w:val="0"/>
          <w:color w:val="1B1C1D"/>
        </w:rPr>
      </w:pPr>
      <w:r w:rsidRPr="00035E5D">
        <w:rPr>
          <w:rFonts w:asciiTheme="majorHAnsi" w:eastAsia="Google Sans" w:hAnsiTheme="majorHAnsi" w:cstheme="majorHAnsi"/>
          <w:b w:val="0"/>
          <w:bCs w:val="0"/>
          <w:color w:val="1B1C1D"/>
        </w:rPr>
        <w:t>1. Indirizzo e Metodologia di Funzionamento</w:t>
      </w:r>
    </w:p>
    <w:p w14:paraId="05CCED05" w14:textId="77777777"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1.1 DI ESPRIMERE INDIRIZZO FAVOREVOLE all'utilizzo della facoltà, prevista dall'Art. 14, comma 1-bis, del D.L. n. 25/2025, di incrementare il Fondo per il Salario Accessorio del personale del Comparto Funzioni Locali, in deroga al limite di spesa di cui all'Art. 23, comma 2, D.Lgs. n. 75/2017, a decorrere dall'anno 2025.</w:t>
      </w:r>
    </w:p>
    <w:p w14:paraId="05CCED07" w14:textId="23CE505D"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 xml:space="preserve">1.2 DI STABILIRE che la quantificazione dello Spazio di Incremento Residuale (SIR) debba essere calcolata applicando la metodologia del </w:t>
      </w:r>
      <w:r w:rsidRPr="00035E5D">
        <w:rPr>
          <w:rFonts w:asciiTheme="majorHAnsi" w:eastAsia="Google Sans Text" w:hAnsiTheme="majorHAnsi" w:cstheme="majorHAnsi"/>
          <w:i/>
          <w:iCs/>
          <w:color w:val="1B1C1D"/>
          <w:sz w:val="24"/>
          <w:szCs w:val="24"/>
        </w:rPr>
        <w:t>Plafond 48%</w:t>
      </w:r>
      <w:r w:rsidRPr="00035E5D">
        <w:rPr>
          <w:rFonts w:asciiTheme="majorHAnsi" w:eastAsia="Google Sans Text" w:hAnsiTheme="majorHAnsi" w:cstheme="majorHAnsi"/>
          <w:color w:val="1B1C1D"/>
          <w:sz w:val="24"/>
          <w:szCs w:val="24"/>
        </w:rPr>
        <w:t>, come descritto nelle premesse, basato sulla spesa complessiva degli Stipendi Tabellari 2023, includendo nel calcolo le risorse destinate alla remunerazione degli incarichi di Elevata Qualificazione.</w:t>
      </w:r>
    </w:p>
    <w:p w14:paraId="05CCED09" w14:textId="11B7048F" w:rsidR="0085344B" w:rsidRPr="00035E5D" w:rsidRDefault="00000000" w:rsidP="00015E36">
      <w:pPr>
        <w:pStyle w:val="Titolo4"/>
        <w:spacing w:before="0" w:after="120" w:line="275" w:lineRule="auto"/>
        <w:jc w:val="both"/>
        <w:rPr>
          <w:rFonts w:asciiTheme="majorHAnsi" w:eastAsia="Google Sans" w:hAnsiTheme="majorHAnsi" w:cstheme="majorHAnsi"/>
          <w:b w:val="0"/>
          <w:bCs w:val="0"/>
          <w:color w:val="1B1C1D"/>
        </w:rPr>
      </w:pPr>
      <w:r w:rsidRPr="00035E5D">
        <w:rPr>
          <w:rFonts w:asciiTheme="majorHAnsi" w:eastAsia="Google Sans" w:hAnsiTheme="majorHAnsi" w:cstheme="majorHAnsi"/>
          <w:b w:val="0"/>
          <w:bCs w:val="0"/>
          <w:color w:val="1B1C1D"/>
        </w:rPr>
        <w:t>2. Verifica dei Limiti di Spesa e Sostenibilità Finanziaria</w:t>
      </w:r>
    </w:p>
    <w:p w14:paraId="05CCED0A" w14:textId="77777777"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2.1 DI DARE MANDATO al Responsabile del Settore Personale, in collaborazione con il Responsabile del Settore Finanziario, di procedere con l'istruttoria tecnica preliminare per calcolare e certificare il possesso dei requisiti di sostenibilità della spesa di personale.</w:t>
      </w:r>
    </w:p>
    <w:p w14:paraId="05CCED0B" w14:textId="77777777" w:rsidR="0085344B" w:rsidRPr="00035E5D" w:rsidRDefault="00000000" w:rsidP="006D21A9">
      <w:pPr>
        <w:pBdr>
          <w:top w:val="nil"/>
          <w:left w:val="nil"/>
          <w:bottom w:val="nil"/>
          <w:right w:val="nil"/>
          <w:between w:val="nil"/>
        </w:pBdr>
        <w:spacing w:after="12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2.2 Tale verifica dovrà accertare in modo specifico:</w:t>
      </w:r>
    </w:p>
    <w:p w14:paraId="05CCED0C" w14:textId="07DE78E1" w:rsidR="0085344B" w:rsidRPr="00035E5D" w:rsidRDefault="00000000" w:rsidP="006D21A9">
      <w:pPr>
        <w:numPr>
          <w:ilvl w:val="0"/>
          <w:numId w:val="1"/>
        </w:numPr>
        <w:pBdr>
          <w:top w:val="nil"/>
          <w:left w:val="nil"/>
          <w:bottom w:val="nil"/>
          <w:right w:val="nil"/>
          <w:between w:val="nil"/>
        </w:pBdr>
        <w:spacing w:line="275" w:lineRule="auto"/>
        <w:jc w:val="both"/>
        <w:rPr>
          <w:rFonts w:asciiTheme="majorHAnsi" w:hAnsiTheme="majorHAnsi" w:cstheme="majorHAnsi"/>
          <w:sz w:val="24"/>
          <w:szCs w:val="24"/>
        </w:rPr>
      </w:pPr>
      <w:r w:rsidRPr="00035E5D">
        <w:rPr>
          <w:rFonts w:asciiTheme="majorHAnsi" w:eastAsia="Google Sans Text" w:hAnsiTheme="majorHAnsi" w:cstheme="majorHAnsi"/>
          <w:color w:val="1B1C1D"/>
          <w:sz w:val="24"/>
          <w:szCs w:val="24"/>
        </w:rPr>
        <w:t>Il rispetto dei limiti di spesa complessiva di personale di cui all'Art. 1, commi 557 e 562, della Legge n. 296/2006.</w:t>
      </w:r>
    </w:p>
    <w:p w14:paraId="05CCED0D" w14:textId="79740277" w:rsidR="0085344B" w:rsidRPr="00035E5D" w:rsidRDefault="00000000" w:rsidP="006D21A9">
      <w:pPr>
        <w:numPr>
          <w:ilvl w:val="0"/>
          <w:numId w:val="1"/>
        </w:numPr>
        <w:pBdr>
          <w:top w:val="nil"/>
          <w:left w:val="nil"/>
          <w:bottom w:val="nil"/>
          <w:right w:val="nil"/>
          <w:between w:val="nil"/>
        </w:pBdr>
        <w:spacing w:line="275" w:lineRule="auto"/>
        <w:jc w:val="both"/>
        <w:rPr>
          <w:rFonts w:asciiTheme="majorHAnsi" w:hAnsiTheme="majorHAnsi" w:cstheme="majorHAnsi"/>
          <w:sz w:val="24"/>
          <w:szCs w:val="24"/>
        </w:rPr>
      </w:pPr>
      <w:r w:rsidRPr="00035E5D">
        <w:rPr>
          <w:rFonts w:asciiTheme="majorHAnsi" w:eastAsia="Google Sans Text" w:hAnsiTheme="majorHAnsi" w:cstheme="majorHAnsi"/>
          <w:color w:val="1B1C1D"/>
          <w:sz w:val="24"/>
          <w:szCs w:val="24"/>
        </w:rPr>
        <w:t>Il rispetto della disciplina introdotta dall'Art. 33, comma 2, del D.L. n. 34/2019, verificando che il rapporto Spesa Personale/Entrate Correnti, calcolato sulla media degli ultimi tre rendiconti approvati, si collochi al di sotto del Valore Soglia di incidenza previsto per la fascia demografica di appartenenza del Comune.</w:t>
      </w:r>
    </w:p>
    <w:p w14:paraId="05CCED0F" w14:textId="3FF4DB65" w:rsidR="0085344B" w:rsidRPr="00035E5D" w:rsidRDefault="00000000" w:rsidP="00015E36">
      <w:pPr>
        <w:numPr>
          <w:ilvl w:val="0"/>
          <w:numId w:val="1"/>
        </w:numPr>
        <w:pBdr>
          <w:top w:val="nil"/>
          <w:left w:val="nil"/>
          <w:bottom w:val="nil"/>
          <w:right w:val="nil"/>
          <w:between w:val="nil"/>
        </w:pBdr>
        <w:spacing w:after="120" w:line="275" w:lineRule="auto"/>
        <w:jc w:val="both"/>
        <w:rPr>
          <w:rFonts w:asciiTheme="majorHAnsi" w:hAnsiTheme="majorHAnsi" w:cstheme="majorHAnsi"/>
          <w:sz w:val="24"/>
          <w:szCs w:val="24"/>
        </w:rPr>
      </w:pPr>
      <w:r w:rsidRPr="00035E5D">
        <w:rPr>
          <w:rFonts w:asciiTheme="majorHAnsi" w:eastAsia="Google Sans Text" w:hAnsiTheme="majorHAnsi" w:cstheme="majorHAnsi"/>
          <w:color w:val="1B1C1D"/>
          <w:sz w:val="24"/>
          <w:szCs w:val="24"/>
        </w:rPr>
        <w:t>La coerenza delle proiezioni di spesa con il Piano Triennale dei Fabbisogni di Personale (PTFP).</w:t>
      </w:r>
    </w:p>
    <w:p w14:paraId="05CCED11" w14:textId="0AF092F1" w:rsidR="0085344B" w:rsidRPr="00035E5D" w:rsidRDefault="00000000" w:rsidP="00015E36">
      <w:pPr>
        <w:pStyle w:val="Titolo4"/>
        <w:spacing w:before="0" w:after="120" w:line="275" w:lineRule="auto"/>
        <w:jc w:val="both"/>
        <w:rPr>
          <w:rFonts w:asciiTheme="majorHAnsi" w:eastAsia="Google Sans" w:hAnsiTheme="majorHAnsi" w:cstheme="majorHAnsi"/>
          <w:b w:val="0"/>
          <w:bCs w:val="0"/>
          <w:color w:val="1B1C1D"/>
        </w:rPr>
      </w:pPr>
      <w:r w:rsidRPr="00035E5D">
        <w:rPr>
          <w:rFonts w:asciiTheme="majorHAnsi" w:eastAsia="Google Sans" w:hAnsiTheme="majorHAnsi" w:cstheme="majorHAnsi"/>
          <w:b w:val="0"/>
          <w:bCs w:val="0"/>
          <w:color w:val="1B1C1D"/>
        </w:rPr>
        <w:t>3. Quantificazione, Certificazione e Inserimento nel Fondo</w:t>
      </w:r>
    </w:p>
    <w:p w14:paraId="05CCED12" w14:textId="77777777" w:rsidR="0085344B" w:rsidRPr="00035E5D" w:rsidRDefault="00000000" w:rsidP="006D21A9">
      <w:pPr>
        <w:pBdr>
          <w:top w:val="nil"/>
          <w:left w:val="nil"/>
          <w:bottom w:val="nil"/>
          <w:right w:val="nil"/>
          <w:between w:val="nil"/>
        </w:pBdr>
        <w:spacing w:after="12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3.1 DI DARE ULTERIORE MANDATO agli Uffici competenti (Settore Personale/Finanziario):</w:t>
      </w:r>
    </w:p>
    <w:p w14:paraId="05CCED13" w14:textId="03193788" w:rsidR="0085344B" w:rsidRPr="00035E5D" w:rsidRDefault="00000000" w:rsidP="006D21A9">
      <w:pPr>
        <w:numPr>
          <w:ilvl w:val="0"/>
          <w:numId w:val="2"/>
        </w:numPr>
        <w:pBdr>
          <w:top w:val="nil"/>
          <w:left w:val="nil"/>
          <w:bottom w:val="nil"/>
          <w:right w:val="nil"/>
          <w:between w:val="nil"/>
        </w:pBdr>
        <w:spacing w:line="275" w:lineRule="auto"/>
        <w:jc w:val="both"/>
        <w:rPr>
          <w:rFonts w:asciiTheme="majorHAnsi" w:hAnsiTheme="majorHAnsi" w:cstheme="majorHAnsi"/>
          <w:sz w:val="24"/>
          <w:szCs w:val="24"/>
        </w:rPr>
      </w:pPr>
      <w:r w:rsidRPr="00035E5D">
        <w:rPr>
          <w:rFonts w:asciiTheme="majorHAnsi" w:eastAsia="Google Sans Text" w:hAnsiTheme="majorHAnsi" w:cstheme="majorHAnsi"/>
          <w:color w:val="1B1C1D"/>
          <w:sz w:val="24"/>
          <w:szCs w:val="24"/>
        </w:rPr>
        <w:t>Di procedere al calcolo esatto della Spesa Stipendi Tabellari (SST) 2023 e alla conseguente quantificazione numerica dello Spazio di Incremento Residuale (SIR) massimo potenzialmente utilizzabile per l'anno 2025, sulla base della metodologia del Plafond 48%.</w:t>
      </w:r>
    </w:p>
    <w:p w14:paraId="05CCED14" w14:textId="77777777" w:rsidR="0085344B" w:rsidRPr="00035E5D" w:rsidRDefault="00000000" w:rsidP="006D21A9">
      <w:pPr>
        <w:numPr>
          <w:ilvl w:val="0"/>
          <w:numId w:val="2"/>
        </w:numPr>
        <w:pBdr>
          <w:top w:val="nil"/>
          <w:left w:val="nil"/>
          <w:bottom w:val="nil"/>
          <w:right w:val="nil"/>
          <w:between w:val="nil"/>
        </w:pBdr>
        <w:spacing w:after="120" w:line="275" w:lineRule="auto"/>
        <w:jc w:val="both"/>
        <w:rPr>
          <w:rFonts w:asciiTheme="majorHAnsi" w:hAnsiTheme="majorHAnsi" w:cstheme="majorHAnsi"/>
          <w:sz w:val="24"/>
          <w:szCs w:val="24"/>
        </w:rPr>
      </w:pPr>
      <w:r w:rsidRPr="00035E5D">
        <w:rPr>
          <w:rFonts w:asciiTheme="majorHAnsi" w:eastAsia="Google Sans Text" w:hAnsiTheme="majorHAnsi" w:cstheme="majorHAnsi"/>
          <w:color w:val="1B1C1D"/>
          <w:sz w:val="24"/>
          <w:szCs w:val="24"/>
        </w:rPr>
        <w:t>Di certificare la disponibilità e la compatibilità finanziaria della risorsa incrementale (SIR) nel bilancio preventivo corrente.</w:t>
      </w:r>
    </w:p>
    <w:p w14:paraId="05CCED15" w14:textId="0AEEB818" w:rsidR="0085344B" w:rsidRPr="00035E5D" w:rsidRDefault="00000000" w:rsidP="006D21A9">
      <w:pPr>
        <w:pBdr>
          <w:top w:val="nil"/>
          <w:left w:val="nil"/>
          <w:bottom w:val="nil"/>
          <w:right w:val="nil"/>
          <w:between w:val="nil"/>
        </w:pBdr>
        <w:spacing w:before="240"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3.2 DI DISPORRE che l'importo quantificato e certificato dello Spazio di Incremento Residuale (SIR) sia inserito nella componente stabile del Fondo delle Risorse Decentrate per l'anno 2025, in quanto risorsa aggiuntiva esclusa dal limite di spesa per specifica disposizione di legge, ai sensi dell'Art. 79, comma 6, del CCNL Funzioni Locali 16.11.2022.</w:t>
      </w:r>
    </w:p>
    <w:p w14:paraId="05CCED16" w14:textId="7AD8DA58"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lastRenderedPageBreak/>
        <w:t>3.3 DI SOTTOPORRE immediatamente la documentazione contabile e il calcolo dell'incremento all'Organo di Revisione dei Conti, al fine di ottenere l'asseverazione formale del mantenimento dell'equilibrio pluriennale di bilancio in relazione all'aumento della spesa di personale a regime.</w:t>
      </w:r>
    </w:p>
    <w:p w14:paraId="05CCED17" w14:textId="77777777"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3.4 DI STABILIRE che l'efficacia operativa e la definitiva costituzione del Fondo 2025, inclusivo dell'incremento in deroga, siano subordinate alla ricezione del parere favorevole dell'Organo di Revisione.</w:t>
      </w:r>
    </w:p>
    <w:p w14:paraId="05CCED18" w14:textId="3889002F" w:rsidR="0085344B" w:rsidRPr="00035E5D" w:rsidRDefault="00000000" w:rsidP="006D21A9">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035E5D">
        <w:rPr>
          <w:rFonts w:asciiTheme="majorHAnsi" w:eastAsia="Google Sans Text" w:hAnsiTheme="majorHAnsi" w:cstheme="majorHAnsi"/>
          <w:color w:val="1B1C1D"/>
          <w:sz w:val="24"/>
          <w:szCs w:val="24"/>
        </w:rPr>
        <w:t>3.5 DI TRASMETTERE la presente deliberazione, quale atto di indirizzo politico-amministrativo, alla Delegazione Trattante di Parte Pubblica, affinché l'importo incrementale venga utilizzato come direttiva per la successiva contrattazione collettiva integrativa decentrata del Fondo 2025.</w:t>
      </w:r>
    </w:p>
    <w:p w14:paraId="05CCED19" w14:textId="77777777" w:rsidR="0085344B" w:rsidRPr="00035E5D" w:rsidRDefault="00000000" w:rsidP="006D21A9">
      <w:pPr>
        <w:pBdr>
          <w:top w:val="nil"/>
          <w:left w:val="nil"/>
          <w:bottom w:val="nil"/>
          <w:right w:val="nil"/>
          <w:between w:val="nil"/>
        </w:pBdr>
        <w:spacing w:after="255" w:line="275" w:lineRule="auto"/>
        <w:jc w:val="both"/>
        <w:rPr>
          <w:rFonts w:asciiTheme="majorHAnsi" w:eastAsia="Google Sans Text" w:hAnsiTheme="majorHAnsi" w:cstheme="majorHAnsi"/>
          <w:color w:val="1B1C1D"/>
          <w:sz w:val="24"/>
          <w:szCs w:val="24"/>
        </w:rPr>
      </w:pPr>
      <w:r w:rsidRPr="00035E5D">
        <w:rPr>
          <w:rFonts w:asciiTheme="majorHAnsi" w:eastAsia="Google Sans Text" w:hAnsiTheme="majorHAnsi" w:cstheme="majorHAnsi"/>
          <w:color w:val="1B1C1D"/>
          <w:sz w:val="24"/>
          <w:szCs w:val="24"/>
        </w:rPr>
        <w:t>(Omissis: Voti, Dichiarazione di Immediata Esecutività, Firma degli Organi).</w:t>
      </w:r>
    </w:p>
    <w:p w14:paraId="05CCED26" w14:textId="207467F8" w:rsidR="0085344B" w:rsidRPr="00035E5D" w:rsidRDefault="0085344B" w:rsidP="00C4294F">
      <w:pPr>
        <w:pBdr>
          <w:top w:val="nil"/>
          <w:left w:val="nil"/>
          <w:bottom w:val="nil"/>
          <w:right w:val="nil"/>
          <w:between w:val="nil"/>
        </w:pBdr>
        <w:jc w:val="both"/>
        <w:rPr>
          <w:rFonts w:asciiTheme="majorHAnsi" w:hAnsiTheme="majorHAnsi" w:cstheme="majorHAnsi"/>
          <w:sz w:val="24"/>
          <w:szCs w:val="24"/>
        </w:rPr>
      </w:pPr>
    </w:p>
    <w:sectPr w:rsidR="0085344B" w:rsidRPr="00035E5D" w:rsidSect="006D21A9">
      <w:footerReference w:type="default" r:id="rId7"/>
      <w:pgSz w:w="12240" w:h="15840"/>
      <w:pgMar w:top="1417" w:right="1134" w:bottom="1134" w:left="1134"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72B7F" w14:textId="77777777" w:rsidR="00BA6C91" w:rsidRDefault="00BA6C91" w:rsidP="006D21A9">
      <w:r>
        <w:separator/>
      </w:r>
    </w:p>
  </w:endnote>
  <w:endnote w:type="continuationSeparator" w:id="0">
    <w:p w14:paraId="6CD009C8" w14:textId="77777777" w:rsidR="00BA6C91" w:rsidRDefault="00BA6C91" w:rsidP="006D2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A52B184-23E3-4CF4-8FF1-A2F35A80FFBA}"/>
  </w:font>
  <w:font w:name="Calibri">
    <w:panose1 w:val="020F0502020204030204"/>
    <w:charset w:val="00"/>
    <w:family w:val="swiss"/>
    <w:pitch w:val="variable"/>
    <w:sig w:usb0="E4002EFF" w:usb1="C200247B" w:usb2="00000009" w:usb3="00000000" w:csb0="000001FF" w:csb1="00000000"/>
    <w:embedRegular r:id="rId2" w:fontKey="{67B6F2F0-6AF1-4468-AE56-336BE118E514}"/>
    <w:embedBold r:id="rId3" w:fontKey="{40119CD9-1260-4445-B34D-3AE38BC3530F}"/>
    <w:embedItalic r:id="rId4" w:fontKey="{49D00DAC-0375-44D0-B799-CEDEE61FBC6A}"/>
  </w:font>
  <w:font w:name="Google Sans">
    <w:charset w:val="00"/>
    <w:family w:val="auto"/>
    <w:pitch w:val="default"/>
    <w:embedRegular r:id="rId5" w:fontKey="{64D48546-B10B-4F69-B588-B7E67E324E4B}"/>
    <w:embedBold r:id="rId6" w:fontKey="{B2ABFB96-EEFF-482F-80EA-D45DA8C59624}"/>
  </w:font>
  <w:font w:name="Google Sans Text">
    <w:charset w:val="00"/>
    <w:family w:val="auto"/>
    <w:pitch w:val="default"/>
    <w:embedRegular r:id="rId7" w:fontKey="{21E185D8-274D-47A7-9757-B1C524CECBC0}"/>
    <w:embedItalic r:id="rId8" w:fontKey="{07C06F62-B1F1-48EC-B153-D614C6F89CDA}"/>
  </w:font>
  <w:font w:name="Cambria">
    <w:panose1 w:val="02040503050406030204"/>
    <w:charset w:val="00"/>
    <w:family w:val="roman"/>
    <w:pitch w:val="variable"/>
    <w:sig w:usb0="E00006FF" w:usb1="420024FF" w:usb2="02000000" w:usb3="00000000" w:csb0="0000019F" w:csb1="00000000"/>
    <w:embedRegular r:id="rId9" w:fontKey="{9BC03079-A648-4711-ABF8-FCE1AF36BC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072372"/>
      <w:docPartObj>
        <w:docPartGallery w:val="Page Numbers (Bottom of Page)"/>
        <w:docPartUnique/>
      </w:docPartObj>
    </w:sdtPr>
    <w:sdtContent>
      <w:p w14:paraId="30F11734" w14:textId="614008A0" w:rsidR="006D21A9" w:rsidRDefault="006D21A9">
        <w:pPr>
          <w:pStyle w:val="Pidipagina"/>
          <w:jc w:val="right"/>
        </w:pPr>
        <w:r>
          <w:fldChar w:fldCharType="begin"/>
        </w:r>
        <w:r>
          <w:instrText>PAGE   \* MERGEFORMAT</w:instrText>
        </w:r>
        <w:r>
          <w:fldChar w:fldCharType="separate"/>
        </w:r>
        <w:r>
          <w:t>2</w:t>
        </w:r>
        <w:r>
          <w:fldChar w:fldCharType="end"/>
        </w:r>
      </w:p>
    </w:sdtContent>
  </w:sdt>
  <w:p w14:paraId="7FDDE9DE" w14:textId="77777777" w:rsidR="006D21A9" w:rsidRDefault="006D21A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5714C" w14:textId="77777777" w:rsidR="00BA6C91" w:rsidRDefault="00BA6C91" w:rsidP="006D21A9">
      <w:r>
        <w:separator/>
      </w:r>
    </w:p>
  </w:footnote>
  <w:footnote w:type="continuationSeparator" w:id="0">
    <w:p w14:paraId="0A10AD20" w14:textId="77777777" w:rsidR="00BA6C91" w:rsidRDefault="00BA6C91" w:rsidP="006D2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E1521"/>
    <w:multiLevelType w:val="multilevel"/>
    <w:tmpl w:val="890C083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CCC64E6"/>
    <w:multiLevelType w:val="multilevel"/>
    <w:tmpl w:val="317247DA"/>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1A1643B"/>
    <w:multiLevelType w:val="multilevel"/>
    <w:tmpl w:val="E216143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660304351">
    <w:abstractNumId w:val="2"/>
  </w:num>
  <w:num w:numId="2" w16cid:durableId="1888027761">
    <w:abstractNumId w:val="0"/>
  </w:num>
  <w:num w:numId="3" w16cid:durableId="21123179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44B"/>
    <w:rsid w:val="00015E36"/>
    <w:rsid w:val="00035E5D"/>
    <w:rsid w:val="000E3B04"/>
    <w:rsid w:val="002B673C"/>
    <w:rsid w:val="006D21A9"/>
    <w:rsid w:val="006E6959"/>
    <w:rsid w:val="007C1D18"/>
    <w:rsid w:val="0085344B"/>
    <w:rsid w:val="00B068A6"/>
    <w:rsid w:val="00BA6C91"/>
    <w:rsid w:val="00C4294F"/>
    <w:rsid w:val="00C81A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CECB9"/>
  <w15:docId w15:val="{17F9ADFA-6D04-4E7D-9C94-42C37340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pBdr>
        <w:top w:val="nil"/>
        <w:left w:val="nil"/>
        <w:bottom w:val="nil"/>
        <w:right w:val="nil"/>
        <w:between w:val="nil"/>
      </w:pBdr>
      <w:spacing w:before="240" w:after="240"/>
      <w:outlineLvl w:val="0"/>
    </w:pPr>
    <w:rPr>
      <w:b/>
      <w:bCs/>
      <w:sz w:val="48"/>
      <w:szCs w:val="48"/>
    </w:rPr>
  </w:style>
  <w:style w:type="paragraph" w:styleId="Titolo2">
    <w:name w:val="heading 2"/>
    <w:basedOn w:val="Normale"/>
    <w:next w:val="Normale"/>
    <w:uiPriority w:val="9"/>
    <w:unhideWhenUsed/>
    <w:qFormat/>
    <w:pPr>
      <w:pBdr>
        <w:top w:val="nil"/>
        <w:left w:val="nil"/>
        <w:bottom w:val="nil"/>
        <w:right w:val="nil"/>
        <w:between w:val="nil"/>
      </w:pBdr>
      <w:spacing w:before="225" w:after="225"/>
      <w:outlineLvl w:val="1"/>
    </w:pPr>
    <w:rPr>
      <w:b/>
      <w:bCs/>
      <w:sz w:val="36"/>
      <w:szCs w:val="36"/>
    </w:rPr>
  </w:style>
  <w:style w:type="paragraph" w:styleId="Titolo3">
    <w:name w:val="heading 3"/>
    <w:basedOn w:val="Normale"/>
    <w:next w:val="Normale"/>
    <w:uiPriority w:val="9"/>
    <w:unhideWhenUsed/>
    <w:qFormat/>
    <w:pPr>
      <w:pBdr>
        <w:top w:val="nil"/>
        <w:left w:val="nil"/>
        <w:bottom w:val="nil"/>
        <w:right w:val="nil"/>
        <w:between w:val="nil"/>
      </w:pBdr>
      <w:spacing w:before="240" w:after="240"/>
      <w:outlineLvl w:val="2"/>
    </w:pPr>
    <w:rPr>
      <w:b/>
      <w:bCs/>
      <w:sz w:val="28"/>
      <w:szCs w:val="28"/>
    </w:rPr>
  </w:style>
  <w:style w:type="paragraph" w:styleId="Titolo4">
    <w:name w:val="heading 4"/>
    <w:basedOn w:val="Normale"/>
    <w:next w:val="Normale"/>
    <w:uiPriority w:val="9"/>
    <w:unhideWhenUsed/>
    <w:qFormat/>
    <w:pPr>
      <w:pBdr>
        <w:top w:val="nil"/>
        <w:left w:val="nil"/>
        <w:bottom w:val="nil"/>
        <w:right w:val="nil"/>
        <w:between w:val="nil"/>
      </w:pBdr>
      <w:spacing w:before="255" w:after="255"/>
      <w:outlineLvl w:val="3"/>
    </w:pPr>
    <w:rPr>
      <w:b/>
      <w:bCs/>
      <w:sz w:val="24"/>
      <w:szCs w:val="24"/>
    </w:rPr>
  </w:style>
  <w:style w:type="paragraph" w:styleId="Titolo5">
    <w:name w:val="heading 5"/>
    <w:basedOn w:val="Normale"/>
    <w:next w:val="Normale"/>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Titolo6">
    <w:name w:val="heading 6"/>
    <w:basedOn w:val="Normale"/>
    <w:next w:val="Normale"/>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Intestazione">
    <w:name w:val="header"/>
    <w:basedOn w:val="Normale"/>
    <w:link w:val="IntestazioneCarattere"/>
    <w:uiPriority w:val="99"/>
    <w:unhideWhenUsed/>
    <w:rsid w:val="006D21A9"/>
    <w:pPr>
      <w:tabs>
        <w:tab w:val="center" w:pos="4819"/>
        <w:tab w:val="right" w:pos="9638"/>
      </w:tabs>
    </w:pPr>
  </w:style>
  <w:style w:type="character" w:customStyle="1" w:styleId="IntestazioneCarattere">
    <w:name w:val="Intestazione Carattere"/>
    <w:basedOn w:val="Carpredefinitoparagrafo"/>
    <w:link w:val="Intestazione"/>
    <w:uiPriority w:val="99"/>
    <w:rsid w:val="006D21A9"/>
  </w:style>
  <w:style w:type="paragraph" w:styleId="Pidipagina">
    <w:name w:val="footer"/>
    <w:basedOn w:val="Normale"/>
    <w:link w:val="PidipaginaCarattere"/>
    <w:uiPriority w:val="99"/>
    <w:unhideWhenUsed/>
    <w:rsid w:val="006D21A9"/>
    <w:pPr>
      <w:tabs>
        <w:tab w:val="center" w:pos="4819"/>
        <w:tab w:val="right" w:pos="9638"/>
      </w:tabs>
    </w:pPr>
  </w:style>
  <w:style w:type="character" w:customStyle="1" w:styleId="PidipaginaCarattere">
    <w:name w:val="Piè di pagina Carattere"/>
    <w:basedOn w:val="Carpredefinitoparagrafo"/>
    <w:link w:val="Pidipagina"/>
    <w:uiPriority w:val="99"/>
    <w:rsid w:val="006D2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1181</Words>
  <Characters>8149</Characters>
  <Application>Microsoft Office Word</Application>
  <DocSecurity>0</DocSecurity>
  <Lines>166</Lines>
  <Paragraphs>61</Paragraphs>
  <ScaleCrop>false</ScaleCrop>
  <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simone carmignani carmignaniconsulenza srls</cp:lastModifiedBy>
  <cp:revision>10</cp:revision>
  <dcterms:created xsi:type="dcterms:W3CDTF">2025-11-13T11:48:00Z</dcterms:created>
  <dcterms:modified xsi:type="dcterms:W3CDTF">2025-11-13T11:55:00Z</dcterms:modified>
</cp:coreProperties>
</file>