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F8F05" w14:textId="77777777" w:rsidR="00392B42" w:rsidRDefault="00392B42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color w:val="000000"/>
        </w:rPr>
      </w:pPr>
    </w:p>
    <w:p w14:paraId="0A8F8F06" w14:textId="77777777" w:rsidR="00392B42" w:rsidRDefault="00B25493" w:rsidP="006B064B">
      <w:pPr>
        <w:pStyle w:val="Titolo1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Proposta di Deliberazione della Giunta Comunale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92B42" w14:paraId="0A8F8F0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F8F08" w14:textId="77777777" w:rsidR="00392B42" w:rsidRDefault="00B25493" w:rsidP="006B0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Comune di: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F8F09" w14:textId="77777777" w:rsidR="00392B42" w:rsidRDefault="00B25493" w:rsidP="006B0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\</w:t>
            </w:r>
          </w:p>
        </w:tc>
      </w:tr>
      <w:tr w:rsidR="00392B42" w14:paraId="0A8F8F0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F8F0B" w14:textId="77777777" w:rsidR="00392B42" w:rsidRDefault="00B25493" w:rsidP="006B0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Provincia di: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F8F0C" w14:textId="77777777" w:rsidR="00392B42" w:rsidRDefault="00B25493" w:rsidP="006B0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\</w:t>
            </w:r>
          </w:p>
        </w:tc>
      </w:tr>
      <w:tr w:rsidR="00392B42" w14:paraId="0A8F8F1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F8F0E" w14:textId="77777777" w:rsidR="00392B42" w:rsidRDefault="00B25493" w:rsidP="006B0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Settore/Servizio Proponente: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F8F0F" w14:textId="77777777" w:rsidR="00392B42" w:rsidRDefault="00B25493" w:rsidP="006B0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Servizio Risorse Umane e Organizzazione</w:t>
            </w:r>
          </w:p>
        </w:tc>
      </w:tr>
      <w:tr w:rsidR="00392B42" w14:paraId="0A8F8F1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F8F11" w14:textId="77777777" w:rsidR="00392B42" w:rsidRDefault="00B25493" w:rsidP="006B0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Proposta di Deliberazione della Giunta Comunale N. ___ del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F8F12" w14:textId="77777777" w:rsidR="00392B42" w:rsidRDefault="00B25493" w:rsidP="006B0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\</w:t>
            </w:r>
          </w:p>
        </w:tc>
      </w:tr>
      <w:tr w:rsidR="00392B42" w14:paraId="0A8F8F1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F8F14" w14:textId="77777777" w:rsidR="00392B42" w:rsidRDefault="00B25493" w:rsidP="006B0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Oggetto: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F8F15" w14:textId="77777777" w:rsidR="00392B42" w:rsidRDefault="00B25493" w:rsidP="006B0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APPROVAZIONE DEL PIANO INTEGRATO DI ATTIVITÀ E ORGANIZZAZIONE (PIAO) PER IL TRIENNIO 2025/2027, CON PARTICOLARE RIFERIMENTO ALL'ANNUALITÀ OPERATIVA 2025, AI SENSI DELL'ART. 6 DEL DECRETO LEGGE 9 GIUGNO 2021, N. 80, CONVERTITO CON MODIFICAZIONI DALLA LEGGE 6 AGOSTO 2021, N. 113.</w:t>
            </w:r>
          </w:p>
        </w:tc>
      </w:tr>
    </w:tbl>
    <w:p w14:paraId="0A8F8F17" w14:textId="77777777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pict w14:anchorId="0A8F8F80">
          <v:rect id="_x0000_i1025" style="width:0;height:1.5pt" o:hralign="center" o:hrstd="t" o:hr="t" fillcolor="#a0a0a0" stroked="f"/>
        </w:pict>
      </w:r>
    </w:p>
    <w:p w14:paraId="0A8F8F18" w14:textId="77777777" w:rsidR="00392B42" w:rsidRDefault="00B25493" w:rsidP="006B064B">
      <w:pPr>
        <w:pStyle w:val="Titolo2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Premessa Istruttoria e Riferimenti Normativi</w:t>
      </w:r>
    </w:p>
    <w:p w14:paraId="0A8F8F1A" w14:textId="77777777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L'adozione del Piano Integrato di Attività e Organizzazione (PIAO) costituisce un obbligo normativo introdotto per semplificare e coordinare la programmazione pubblica. Il presente atto mira ad approvare la versione triennale 2025/2027 del Piano, garantendo la piena operatività dell'Ente, con particolare attenzione all'annualità in corso.</w:t>
      </w:r>
    </w:p>
    <w:p w14:paraId="0A8F8F1C" w14:textId="77777777" w:rsidR="00392B42" w:rsidRDefault="00B25493" w:rsidP="006B064B">
      <w:pPr>
        <w:pStyle w:val="Titolo3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1. Normativa di Diritto Pubblico e Ordinamento Locale</w:t>
      </w:r>
    </w:p>
    <w:p w14:paraId="0A8F8F1E" w14:textId="77777777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VISTA</w:t>
      </w:r>
      <w:r>
        <w:rPr>
          <w:rFonts w:ascii="Google Sans Text" w:eastAsia="Google Sans Text" w:hAnsi="Google Sans Text" w:cs="Google Sans Text"/>
          <w:color w:val="1B1C1D"/>
        </w:rPr>
        <w:t xml:space="preserve"> la Legge 7 agosto 1990, n. 241, che stabilisce i principi generali in materia di procedimento amministrativo, garantendo l'imparzialità, l'efficacia, l'economicità e la trasparenza dell'azione amministrativa, principi che sono fondamentali nell'elaborazione e </w:t>
      </w:r>
      <w:r>
        <w:rPr>
          <w:rFonts w:ascii="Google Sans Text" w:eastAsia="Google Sans Text" w:hAnsi="Google Sans Text" w:cs="Google Sans Text"/>
          <w:color w:val="1B1C1D"/>
        </w:rPr>
        <w:lastRenderedPageBreak/>
        <w:t>nell'attuazione del PIAO.</w:t>
      </w:r>
    </w:p>
    <w:p w14:paraId="0A8F8F1F" w14:textId="77777777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VISTO</w:t>
      </w:r>
      <w:r>
        <w:rPr>
          <w:rFonts w:ascii="Google Sans Text" w:eastAsia="Google Sans Text" w:hAnsi="Google Sans Text" w:cs="Google Sans Text"/>
          <w:color w:val="1B1C1D"/>
        </w:rPr>
        <w:t xml:space="preserve"> il Decreto Legislativo 18 agosto 2000, n. 267 (Testo Unico delle leggi sull'ordinamento degli Enti Locali - TUEL), e in particolare:</w:t>
      </w:r>
    </w:p>
    <w:p w14:paraId="0A8F8F20" w14:textId="3E24C678" w:rsidR="00392B42" w:rsidRDefault="00B25493" w:rsidP="006B06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</w:rPr>
        <w:t>L'</w:t>
      </w:r>
      <w:r>
        <w:rPr>
          <w:rFonts w:ascii="Google Sans Text" w:eastAsia="Google Sans Text" w:hAnsi="Google Sans Text" w:cs="Google Sans Text"/>
          <w:b/>
          <w:color w:val="1B1C1D"/>
        </w:rPr>
        <w:t>Articolo 48, comma 3</w:t>
      </w:r>
      <w:r>
        <w:rPr>
          <w:rFonts w:ascii="Google Sans Text" w:eastAsia="Google Sans Text" w:hAnsi="Google Sans Text" w:cs="Google Sans Text"/>
          <w:color w:val="1B1C1D"/>
        </w:rPr>
        <w:t>, che attribuisce alla Giunta Comunale la competenza per l'adozione dei regolamenti sull'ordinamento degli uffici e dei servizi, nel rispetto dei criteri generali stabiliti dal Consiglio.</w:t>
      </w:r>
      <w:r>
        <w:rPr>
          <w:rFonts w:ascii="Google Sans Text" w:eastAsia="Google Sans Text" w:hAnsi="Google Sans Text" w:cs="Google Sans Text"/>
          <w:color w:val="1B1C1D"/>
        </w:rPr>
        <w:t xml:space="preserve"> Tale disposizione legittima l'approvazione del PIAO da parte della Giunta, in quanto il Piano disciplina integralmente l'organizzazione e la gestione del personale.</w:t>
      </w:r>
    </w:p>
    <w:p w14:paraId="0A8F8F21" w14:textId="08EB0B15" w:rsidR="00392B42" w:rsidRDefault="00B25493" w:rsidP="006B06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</w:rPr>
        <w:t>L'</w:t>
      </w:r>
      <w:r>
        <w:rPr>
          <w:rFonts w:ascii="Google Sans Text" w:eastAsia="Google Sans Text" w:hAnsi="Google Sans Text" w:cs="Google Sans Text"/>
          <w:b/>
          <w:color w:val="1B1C1D"/>
        </w:rPr>
        <w:t>Articolo 134, comma 4</w:t>
      </w:r>
      <w:r>
        <w:rPr>
          <w:rFonts w:ascii="Google Sans Text" w:eastAsia="Google Sans Text" w:hAnsi="Google Sans Text" w:cs="Google Sans Text"/>
          <w:color w:val="1B1C1D"/>
        </w:rPr>
        <w:t>, che prevede la possibilità di dichiarare le deliberazioni immediatamente eseguibili, motivandone l'urgenza.</w:t>
      </w:r>
    </w:p>
    <w:p w14:paraId="0A8F8F22" w14:textId="3C14E538" w:rsidR="00392B42" w:rsidRDefault="00B25493" w:rsidP="006B06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</w:rPr>
        <w:t>L'</w:t>
      </w:r>
      <w:r>
        <w:rPr>
          <w:rFonts w:ascii="Google Sans Text" w:eastAsia="Google Sans Text" w:hAnsi="Google Sans Text" w:cs="Google Sans Text"/>
          <w:b/>
          <w:color w:val="1B1C1D"/>
        </w:rPr>
        <w:t>Articolo 170, comma 1</w:t>
      </w:r>
      <w:r>
        <w:rPr>
          <w:rFonts w:ascii="Google Sans Text" w:eastAsia="Google Sans Text" w:hAnsi="Google Sans Text" w:cs="Google Sans Text"/>
          <w:color w:val="1B1C1D"/>
        </w:rPr>
        <w:t>, in tema di Documento Unico di Programmazione (DUP), il quale impone la coerenza degli atti di programmazione di Giunta con gli indirizzi strategici adottati dal Consiglio.</w:t>
      </w:r>
    </w:p>
    <w:p w14:paraId="0A8F8F23" w14:textId="50AB20A9" w:rsidR="00392B42" w:rsidRPr="00416140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jc w:val="both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VISTO</w:t>
      </w:r>
      <w:r>
        <w:rPr>
          <w:rFonts w:ascii="Google Sans Text" w:eastAsia="Google Sans Text" w:hAnsi="Google Sans Text" w:cs="Google Sans Text"/>
          <w:color w:val="1B1C1D"/>
        </w:rPr>
        <w:t xml:space="preserve"> il Documento Unico di Programmazione (DUP) 2025/2027, approvato dal Consiglio Comunale con Deliberazione </w:t>
      </w:r>
      <w:r w:rsidR="00416140">
        <w:rPr>
          <w:rFonts w:ascii="Google Sans Text" w:eastAsia="Google Sans Text" w:hAnsi="Google Sans Text" w:cs="Google Sans Text"/>
          <w:color w:val="1B1C1D"/>
        </w:rPr>
        <w:t>n. _____ del __________</w:t>
      </w:r>
      <w:r>
        <w:rPr>
          <w:rFonts w:ascii="Google Sans Text" w:eastAsia="Google Sans Text" w:hAnsi="Google Sans Text" w:cs="Google Sans Text"/>
          <w:color w:val="1B1C1D"/>
        </w:rPr>
        <w:t>, atto che costituisce l'indirizzo politico-amministrativo di livello superiore cui la programmazione operativa del PIAO è subordinata, assicurando la corretta distribuzione delle competenze tra gli organi istituzionali.</w:t>
      </w:r>
    </w:p>
    <w:p w14:paraId="3A1D0C1E" w14:textId="214329DE" w:rsidR="00F50BA3" w:rsidRPr="00F50BA3" w:rsidRDefault="004250BC" w:rsidP="00F50BA3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jc w:val="both"/>
        <w:rPr>
          <w:rFonts w:ascii="Google Sans Text" w:eastAsia="Google Sans Text" w:hAnsi="Google Sans Text" w:cs="Google Sans Text"/>
          <w:b/>
          <w:color w:val="1B1C1D"/>
        </w:rPr>
      </w:pPr>
      <w:r w:rsidRPr="00F50BA3">
        <w:rPr>
          <w:rFonts w:ascii="Google Sans Text" w:eastAsia="Google Sans Text" w:hAnsi="Google Sans Text" w:cs="Google Sans Text"/>
          <w:b/>
          <w:color w:val="1B1C1D"/>
        </w:rPr>
        <w:t xml:space="preserve">VISTO </w:t>
      </w:r>
      <w:r w:rsidRPr="00F50BA3">
        <w:rPr>
          <w:rFonts w:ascii="Google Sans Text" w:eastAsia="Google Sans Text" w:hAnsi="Google Sans Text" w:cs="Google Sans Text"/>
          <w:bCs/>
          <w:color w:val="1B1C1D"/>
        </w:rPr>
        <w:t xml:space="preserve">il </w:t>
      </w:r>
      <w:r w:rsidR="00F50BA3">
        <w:rPr>
          <w:rFonts w:ascii="Google Sans Text" w:eastAsia="Google Sans Text" w:hAnsi="Google Sans Text" w:cs="Google Sans Text"/>
          <w:bCs/>
          <w:color w:val="1B1C1D"/>
        </w:rPr>
        <w:t xml:space="preserve">Bilancio di Previsione, approvato </w:t>
      </w:r>
      <w:r w:rsidR="00F50BA3">
        <w:rPr>
          <w:rFonts w:ascii="Google Sans Text" w:eastAsia="Google Sans Text" w:hAnsi="Google Sans Text" w:cs="Google Sans Text"/>
          <w:color w:val="1B1C1D"/>
        </w:rPr>
        <w:t xml:space="preserve">dal Consiglio Comunale con Deliberazione n. </w:t>
      </w:r>
      <w:r w:rsidR="00416140">
        <w:rPr>
          <w:rFonts w:ascii="Google Sans Text" w:eastAsia="Google Sans Text" w:hAnsi="Google Sans Text" w:cs="Google Sans Text"/>
          <w:color w:val="1B1C1D"/>
        </w:rPr>
        <w:t xml:space="preserve">_____ </w:t>
      </w:r>
      <w:r w:rsidR="00F50BA3">
        <w:rPr>
          <w:rFonts w:ascii="Google Sans Text" w:eastAsia="Google Sans Text" w:hAnsi="Google Sans Text" w:cs="Google Sans Text"/>
          <w:color w:val="1B1C1D"/>
        </w:rPr>
        <w:t xml:space="preserve">del </w:t>
      </w:r>
      <w:r w:rsidR="00416140">
        <w:rPr>
          <w:rFonts w:ascii="Google Sans Text" w:eastAsia="Google Sans Text" w:hAnsi="Google Sans Text" w:cs="Google Sans Text"/>
          <w:color w:val="1B1C1D"/>
        </w:rPr>
        <w:t>__________.</w:t>
      </w:r>
    </w:p>
    <w:p w14:paraId="0A8F8F25" w14:textId="2EBD9580" w:rsidR="00392B42" w:rsidRDefault="004250BC" w:rsidP="006B064B">
      <w:pPr>
        <w:pStyle w:val="Titolo3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 xml:space="preserve">Documento </w:t>
      </w:r>
      <w:r w:rsidR="00B25493">
        <w:rPr>
          <w:rFonts w:ascii="Google Sans" w:eastAsia="Google Sans" w:hAnsi="Google Sans" w:cs="Google Sans"/>
          <w:color w:val="1B1C1D"/>
        </w:rPr>
        <w:t>2. Normativa Istitutiva del PIAO e Coordinamento Strategico</w:t>
      </w:r>
    </w:p>
    <w:p w14:paraId="0A8F8F27" w14:textId="78A76E10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</w:pPr>
      <w:r>
        <w:rPr>
          <w:rFonts w:ascii="Google Sans Text" w:eastAsia="Google Sans Text" w:hAnsi="Google Sans Text" w:cs="Google Sans Text"/>
          <w:b/>
          <w:color w:val="1B1C1D"/>
        </w:rPr>
        <w:t>RICHIAMATO</w:t>
      </w:r>
      <w:r>
        <w:rPr>
          <w:rFonts w:ascii="Google Sans Text" w:eastAsia="Google Sans Text" w:hAnsi="Google Sans Text" w:cs="Google Sans Text"/>
          <w:color w:val="1B1C1D"/>
        </w:rPr>
        <w:t xml:space="preserve"> l'</w:t>
      </w:r>
      <w:r>
        <w:rPr>
          <w:rFonts w:ascii="Google Sans Text" w:eastAsia="Google Sans Text" w:hAnsi="Google Sans Text" w:cs="Google Sans Text"/>
          <w:b/>
          <w:color w:val="1B1C1D"/>
        </w:rPr>
        <w:t>Articolo 6, commi da 1 a 4, del Decreto Legge 9 giugno 2021, n. 80</w:t>
      </w:r>
      <w:r>
        <w:rPr>
          <w:rFonts w:ascii="Google Sans Text" w:eastAsia="Google Sans Text" w:hAnsi="Google Sans Text" w:cs="Google Sans Text"/>
          <w:color w:val="1B1C1D"/>
        </w:rPr>
        <w:t xml:space="preserve">, convertito, con modificazioni, dalla </w:t>
      </w:r>
      <w:r>
        <w:rPr>
          <w:rFonts w:ascii="Google Sans Text" w:eastAsia="Google Sans Text" w:hAnsi="Google Sans Text" w:cs="Google Sans Text"/>
          <w:b/>
          <w:color w:val="1B1C1D"/>
        </w:rPr>
        <w:t>Legge 6 agosto 2021, n. 113</w:t>
      </w:r>
      <w:r>
        <w:rPr>
          <w:rFonts w:ascii="Google Sans Text" w:eastAsia="Google Sans Text" w:hAnsi="Google Sans Text" w:cs="Google Sans Text"/>
          <w:color w:val="1B1C1D"/>
        </w:rPr>
        <w:t>, che ha istituito il Piano Integrato di Attività e Organizzazione (PIAO).</w:t>
      </w:r>
      <w:r>
        <w:rPr>
          <w:rFonts w:ascii="Google Sans Text" w:eastAsia="Google Sans Text" w:hAnsi="Google Sans Text" w:cs="Google Sans Text"/>
          <w:color w:val="1B1C1D"/>
        </w:rPr>
        <w:t xml:space="preserve"> Il PIAO è concepito come misura di semplificazione e di ottimizzazione della programmazione pubblica, ed è specificamente funzionale al rafforzamento della capacità amministrativa necessaria per l'attuazione del Piano Nazionale di Ripresa e Resilienza (PNRR). La sua adozione rappresenta un requisito essenziale per l'efficace gestione dei progetti finanziati.</w:t>
      </w:r>
    </w:p>
    <w:p w14:paraId="0A8F8F28" w14:textId="4A365A5E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</w:pPr>
      <w:r>
        <w:rPr>
          <w:rFonts w:ascii="Google Sans Text" w:eastAsia="Google Sans Text" w:hAnsi="Google Sans Text" w:cs="Google Sans Text"/>
          <w:b/>
          <w:color w:val="1B1C1D"/>
        </w:rPr>
        <w:t>VISTO</w:t>
      </w:r>
      <w:r>
        <w:rPr>
          <w:rFonts w:ascii="Google Sans Text" w:eastAsia="Google Sans Text" w:hAnsi="Google Sans Text" w:cs="Google Sans Text"/>
          <w:color w:val="1B1C1D"/>
        </w:rPr>
        <w:t xml:space="preserve"> il </w:t>
      </w:r>
      <w:r>
        <w:rPr>
          <w:rFonts w:ascii="Google Sans Text" w:eastAsia="Google Sans Text" w:hAnsi="Google Sans Text" w:cs="Google Sans Text"/>
          <w:b/>
          <w:color w:val="1B1C1D"/>
        </w:rPr>
        <w:t>Decreto del Ministro per la Pubblica Amministrazione del 30 giugno 2022</w:t>
      </w:r>
      <w:r>
        <w:rPr>
          <w:rFonts w:ascii="Google Sans Text" w:eastAsia="Google Sans Text" w:hAnsi="Google Sans Text" w:cs="Google Sans Text"/>
          <w:color w:val="1B1C1D"/>
        </w:rPr>
        <w:t>, che ha definito i contenuti e lo schema tipo del PIAO, fornendo il quadro operativo di riferimento per la sua redazione.</w:t>
      </w:r>
    </w:p>
    <w:p w14:paraId="0A8F8F29" w14:textId="727BCD6E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</w:pPr>
      <w:r>
        <w:rPr>
          <w:rFonts w:ascii="Google Sans Text" w:eastAsia="Google Sans Text" w:hAnsi="Google Sans Text" w:cs="Google Sans Text"/>
          <w:b/>
          <w:color w:val="1B1C1D"/>
        </w:rPr>
        <w:t>CONSIDERATO</w:t>
      </w:r>
      <w:r>
        <w:rPr>
          <w:rFonts w:ascii="Google Sans Text" w:eastAsia="Google Sans Text" w:hAnsi="Google Sans Text" w:cs="Google Sans Text"/>
          <w:color w:val="1B1C1D"/>
        </w:rPr>
        <w:t xml:space="preserve"> che il PIAO ha durata triennale (2025/2027) e deve essere aggiornato annualmente, secondo quanto stabilito dall'</w:t>
      </w:r>
      <w:r>
        <w:rPr>
          <w:rFonts w:ascii="Google Sans Text" w:eastAsia="Google Sans Text" w:hAnsi="Google Sans Text" w:cs="Google Sans Text"/>
          <w:b/>
          <w:color w:val="1B1C1D"/>
        </w:rPr>
        <w:t>Articolo 7, comma 1, del D.L. 80/2021</w:t>
      </w:r>
      <w:r>
        <w:rPr>
          <w:rFonts w:ascii="Google Sans Text" w:eastAsia="Google Sans Text" w:hAnsi="Google Sans Text" w:cs="Google Sans Text"/>
          <w:color w:val="1B1C1D"/>
        </w:rPr>
        <w:t>.</w:t>
      </w:r>
    </w:p>
    <w:p w14:paraId="0A8F8F2A" w14:textId="1284D6E5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</w:pPr>
      <w:r>
        <w:rPr>
          <w:rFonts w:ascii="Google Sans Text" w:eastAsia="Google Sans Text" w:hAnsi="Google Sans Text" w:cs="Google Sans Text"/>
          <w:b/>
          <w:color w:val="1B1C1D"/>
        </w:rPr>
        <w:t>DATO ATTO</w:t>
      </w:r>
      <w:r>
        <w:rPr>
          <w:rFonts w:ascii="Google Sans Text" w:eastAsia="Google Sans Text" w:hAnsi="Google Sans Text" w:cs="Google Sans Text"/>
          <w:color w:val="1B1C1D"/>
        </w:rPr>
        <w:t xml:space="preserve"> che il termine per l'approvazione del PIAO è fissato al 31 gennaio, ma in virtù del </w:t>
      </w:r>
      <w:r>
        <w:rPr>
          <w:rFonts w:ascii="Google Sans Text" w:eastAsia="Google Sans Text" w:hAnsi="Google Sans Text" w:cs="Google Sans Text"/>
          <w:color w:val="1B1C1D"/>
        </w:rPr>
        <w:lastRenderedPageBreak/>
        <w:t>differimento del termine di approvazione del bilancio di previsione 2025/2027, il termine per l'adozione del PIAO è differito di trenta giorni successivi a quello di approvazione dei bilanci, ai sensi dell'</w:t>
      </w:r>
      <w:r>
        <w:rPr>
          <w:rFonts w:ascii="Google Sans Text" w:eastAsia="Google Sans Text" w:hAnsi="Google Sans Text" w:cs="Google Sans Text"/>
          <w:b/>
          <w:color w:val="1B1C1D"/>
        </w:rPr>
        <w:t>Articolo 8, comma 2, del D.L. 80/2021</w:t>
      </w:r>
      <w:r>
        <w:rPr>
          <w:rFonts w:ascii="Google Sans Text" w:eastAsia="Google Sans Text" w:hAnsi="Google Sans Text" w:cs="Google Sans Text"/>
          <w:color w:val="1B1C1D"/>
        </w:rPr>
        <w:t>.</w:t>
      </w:r>
    </w:p>
    <w:p w14:paraId="0A8F8F2B" w14:textId="0D34D241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</w:pPr>
      <w:r>
        <w:rPr>
          <w:rFonts w:ascii="Google Sans Text" w:eastAsia="Google Sans Text" w:hAnsi="Google Sans Text" w:cs="Google Sans Text"/>
          <w:b/>
          <w:color w:val="1B1C1D"/>
        </w:rPr>
        <w:t>PRESO ATTO</w:t>
      </w:r>
      <w:r>
        <w:rPr>
          <w:rFonts w:ascii="Google Sans Text" w:eastAsia="Google Sans Text" w:hAnsi="Google Sans Text" w:cs="Google Sans Text"/>
          <w:color w:val="1B1C1D"/>
        </w:rPr>
        <w:t xml:space="preserve"> che l'omissione o la mancata adozione del PIAO comporta l'applicazione delle sanzioni previste dall'</w:t>
      </w:r>
      <w:r>
        <w:rPr>
          <w:rFonts w:ascii="Google Sans Text" w:eastAsia="Google Sans Text" w:hAnsi="Google Sans Text" w:cs="Google Sans Text"/>
          <w:b/>
          <w:color w:val="1B1C1D"/>
        </w:rPr>
        <w:t>Articolo 10, comma 5, del D.Lgs. 150/2009</w:t>
      </w:r>
      <w:r>
        <w:rPr>
          <w:rFonts w:ascii="Google Sans Text" w:eastAsia="Google Sans Text" w:hAnsi="Google Sans Text" w:cs="Google Sans Text"/>
          <w:color w:val="1B1C1D"/>
        </w:rPr>
        <w:t>, incluse il divieto di erogazione della retribuzione di risultato ai dirigenti e il divieto di nuove assunzioni o affidamento di incarichi di consulenza.</w:t>
      </w:r>
    </w:p>
    <w:p w14:paraId="0A8F8F2D" w14:textId="77777777" w:rsidR="00392B42" w:rsidRDefault="00B25493" w:rsidP="006B064B">
      <w:pPr>
        <w:pStyle w:val="Titolo3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3. Normativa di Settore Assorbita</w:t>
      </w:r>
    </w:p>
    <w:p w14:paraId="0A8F8F2F" w14:textId="77777777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Il PIAO integra organicamente la programmazione precedentemente frammentata, operando nel rispetto delle normative di settore:</w:t>
      </w:r>
    </w:p>
    <w:p w14:paraId="0A8F8F30" w14:textId="4A32BF9B" w:rsidR="00392B42" w:rsidRDefault="00B25493" w:rsidP="006B06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Performance:</w:t>
      </w:r>
      <w:r>
        <w:rPr>
          <w:rFonts w:ascii="Google Sans Text" w:eastAsia="Google Sans Text" w:hAnsi="Google Sans Text" w:cs="Google Sans Text"/>
          <w:color w:val="1B1C1D"/>
        </w:rPr>
        <w:t xml:space="preserve"> Decreto Legislativo 27 ottobre 2009, n. 150 (Riforma Brunetta).</w:t>
      </w:r>
    </w:p>
    <w:p w14:paraId="0A8F8F31" w14:textId="17ED7DD2" w:rsidR="00392B42" w:rsidRDefault="00B25493" w:rsidP="006B06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Anticorruzione e Trasparenza:</w:t>
      </w:r>
      <w:r>
        <w:rPr>
          <w:rFonts w:ascii="Google Sans Text" w:eastAsia="Google Sans Text" w:hAnsi="Google Sans Text" w:cs="Google Sans Text"/>
          <w:color w:val="1B1C1D"/>
        </w:rPr>
        <w:t xml:space="preserve"> Legge 6 novembre 2012, n. 190, e Decreto Legislativo 14 marzo 2013, n. 33.</w:t>
      </w:r>
    </w:p>
    <w:p w14:paraId="0A8F8F32" w14:textId="6A12F7FA" w:rsidR="00392B42" w:rsidRDefault="00B25493" w:rsidP="006B06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Organizzazione e Personale:</w:t>
      </w:r>
      <w:r>
        <w:rPr>
          <w:rFonts w:ascii="Google Sans Text" w:eastAsia="Google Sans Text" w:hAnsi="Google Sans Text" w:cs="Google Sans Text"/>
          <w:color w:val="1B1C1D"/>
        </w:rPr>
        <w:t xml:space="preserve"> Decreto Legislativo 30 marzo 2001, n. 165 (TUPI), in particolare l'</w:t>
      </w:r>
      <w:r>
        <w:rPr>
          <w:rFonts w:ascii="Google Sans Text" w:eastAsia="Google Sans Text" w:hAnsi="Google Sans Text" w:cs="Google Sans Text"/>
          <w:b/>
          <w:color w:val="1B1C1D"/>
        </w:rPr>
        <w:t>Articolo 6-bis</w:t>
      </w:r>
      <w:r>
        <w:rPr>
          <w:rFonts w:ascii="Google Sans Text" w:eastAsia="Google Sans Text" w:hAnsi="Google Sans Text" w:cs="Google Sans Text"/>
          <w:color w:val="1B1C1D"/>
        </w:rPr>
        <w:t xml:space="preserve"> (Organizzazione e Fabbisogni).</w:t>
      </w:r>
    </w:p>
    <w:p w14:paraId="0A8F8F33" w14:textId="6BC758B3" w:rsidR="00392B42" w:rsidRDefault="00B25493" w:rsidP="006B06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Armonizzazione Contabile:</w:t>
      </w:r>
      <w:r>
        <w:rPr>
          <w:rFonts w:ascii="Google Sans Text" w:eastAsia="Google Sans Text" w:hAnsi="Google Sans Text" w:cs="Google Sans Text"/>
          <w:color w:val="1B1C1D"/>
        </w:rPr>
        <w:t xml:space="preserve"> Decreto Legislativo 23 giugno 2011, n. 118, e successive modificazioni, il quale stabilisce che la programmazione finanziaria debba avere valenza pluriennale ed essere coerente con tutti gli strumenti di pianificazione dell'Ente.</w:t>
      </w:r>
      <w:r w:rsidR="002A0653"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 xml:space="preserve"> </w:t>
      </w:r>
      <w:r>
        <w:rPr>
          <w:rFonts w:ascii="Google Sans Text" w:eastAsia="Google Sans Text" w:hAnsi="Google Sans Text" w:cs="Google Sans Text"/>
          <w:color w:val="1B1C1D"/>
        </w:rPr>
        <w:t>L'interdipendenza con il D.Lgs. 118/2011 garantisce che le previsioni di spesa di personale (PTFP) siano finanziariamente sostenibili e correlate agli schemi di bilancio.</w:t>
      </w:r>
    </w:p>
    <w:p w14:paraId="0A8F8F35" w14:textId="77777777" w:rsidR="00392B42" w:rsidRDefault="00B25493" w:rsidP="006B064B">
      <w:pPr>
        <w:pStyle w:val="Titolo2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Descrizione, Finalità e Contenuti Chiave del PIAO 2025/2027</w:t>
      </w:r>
    </w:p>
    <w:p w14:paraId="0A8F8F38" w14:textId="77777777" w:rsidR="00392B42" w:rsidRDefault="00B25493" w:rsidP="006B064B">
      <w:pPr>
        <w:pStyle w:val="Titolo3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1. Definizione e Funzionalità del PIAO</w:t>
      </w:r>
    </w:p>
    <w:p w14:paraId="0A8F8F3A" w14:textId="2D3BAAB8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</w:pPr>
      <w:r>
        <w:rPr>
          <w:rFonts w:ascii="Google Sans Text" w:eastAsia="Google Sans Text" w:hAnsi="Google Sans Text" w:cs="Google Sans Text"/>
          <w:color w:val="1B1C1D"/>
        </w:rPr>
        <w:t>Il Piano Integrato di Attività e Organizzazione è lo strumento attraverso il quale l'Amministrazione articola gli obiettivi e le azioni necessarie per l'esercizio delle proprie funzioni, comunicando in modo trasparente alla collettività i risultati che intende conseguire per soddisfare le esigenze di valore pubblico.</w:t>
      </w:r>
      <w:r>
        <w:rPr>
          <w:rFonts w:ascii="Google Sans Text" w:eastAsia="Google Sans Text" w:hAnsi="Google Sans Text" w:cs="Google Sans Text"/>
          <w:color w:val="1B1C1D"/>
        </w:rPr>
        <w:t xml:space="preserve"> Il suo obiettivo primario è semplificare i processi di programmazione e assicurare una migliore qualità e trasparenza dei servizi ai cittadini e alle imprese.</w:t>
      </w:r>
    </w:p>
    <w:p w14:paraId="0A8F8F3B" w14:textId="5E66EAAF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Il PIAO è strutturato in quattro Sezioni fondamentali che coprono l'intera attività dell'Ente</w:t>
      </w:r>
      <w:r>
        <w:rPr>
          <w:rFonts w:ascii="Google Sans Text" w:eastAsia="Google Sans Text" w:hAnsi="Google Sans Text" w:cs="Google Sans Text"/>
          <w:color w:val="1B1C1D"/>
        </w:rPr>
        <w:t>:</w:t>
      </w:r>
    </w:p>
    <w:p w14:paraId="0A8F8F3C" w14:textId="77777777" w:rsidR="00392B42" w:rsidRDefault="00B25493" w:rsidP="006B06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</w:rPr>
        <w:t>Valore Pubblico, Performance e Anticorruzione.</w:t>
      </w:r>
    </w:p>
    <w:p w14:paraId="0A8F8F3D" w14:textId="77777777" w:rsidR="00392B42" w:rsidRDefault="00B25493" w:rsidP="006B06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</w:rPr>
        <w:t>Organizzazione e Capitale Umano (che include la programmazione dei fabbisogni).</w:t>
      </w:r>
    </w:p>
    <w:p w14:paraId="0A8F8F3E" w14:textId="77777777" w:rsidR="00392B42" w:rsidRDefault="00B25493" w:rsidP="006B06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</w:rPr>
        <w:t>Monitoraggio.</w:t>
      </w:r>
    </w:p>
    <w:p w14:paraId="0A8F8F40" w14:textId="77777777" w:rsidR="00392B42" w:rsidRDefault="00B25493" w:rsidP="006B064B">
      <w:pPr>
        <w:pStyle w:val="Titolo3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 Programmazione del Capitale Umano per l'Annualità 2025</w:t>
      </w:r>
    </w:p>
    <w:p w14:paraId="0A8F8F42" w14:textId="6A5F3C21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lastRenderedPageBreak/>
        <w:t xml:space="preserve">La </w:t>
      </w:r>
      <w:r>
        <w:rPr>
          <w:rFonts w:ascii="Google Sans Text" w:eastAsia="Google Sans Text" w:hAnsi="Google Sans Text" w:cs="Google Sans Text"/>
          <w:b/>
          <w:color w:val="1B1C1D"/>
        </w:rPr>
        <w:t>Sezione 3: Organizzazione e Capitale Umano</w:t>
      </w:r>
      <w:r>
        <w:rPr>
          <w:rFonts w:ascii="Google Sans Text" w:eastAsia="Google Sans Text" w:hAnsi="Google Sans Text" w:cs="Google Sans Text"/>
          <w:color w:val="1B1C1D"/>
        </w:rPr>
        <w:t xml:space="preserve"> del PIAO 2025/2027 contiene, in particolare, il Piano Triennale dei Fabbisogni di Personale (PTFP). Quest</w:t>
      </w:r>
      <w:r w:rsidR="00262E0A">
        <w:rPr>
          <w:rFonts w:ascii="Google Sans Text" w:eastAsia="Google Sans Text" w:hAnsi="Google Sans Text" w:cs="Google Sans Text"/>
          <w:color w:val="1B1C1D"/>
        </w:rPr>
        <w:t>a</w:t>
      </w:r>
      <w:r>
        <w:rPr>
          <w:rFonts w:ascii="Google Sans Text" w:eastAsia="Google Sans Text" w:hAnsi="Google Sans Text" w:cs="Google Sans Text"/>
          <w:color w:val="1B1C1D"/>
        </w:rPr>
        <w:t xml:space="preserve"> sottosezione è fondamentale per definire le strategie di gestione del personale, la struttura organizzativa ottimale e le modalità di lavoro agile.</w:t>
      </w:r>
    </w:p>
    <w:p w14:paraId="0A8F8F43" w14:textId="2E334D81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DATO ATTO</w:t>
      </w:r>
      <w:r>
        <w:rPr>
          <w:rFonts w:ascii="Google Sans Text" w:eastAsia="Google Sans Text" w:hAnsi="Google Sans Text" w:cs="Google Sans Text"/>
          <w:color w:val="1B1C1D"/>
        </w:rPr>
        <w:t xml:space="preserve"> che il PTFP per l'annualità 2025 è stato elaborato tenendo in considerazione la necessità di rafforzare i settori chiave (es. digitalizzazione, gestione PNRR).</w:t>
      </w:r>
      <w:r>
        <w:rPr>
          <w:rFonts w:ascii="Google Sans Text" w:eastAsia="Google Sans Text" w:hAnsi="Google Sans Text" w:cs="Google Sans Text"/>
          <w:color w:val="1B1C1D"/>
        </w:rPr>
        <w:t xml:space="preserve"> La programmazione assunzionale è stata verificata per assicurare la piena compatibilità finanziaria:</w:t>
      </w:r>
    </w:p>
    <w:p w14:paraId="0A8F8F44" w14:textId="1CC18A14" w:rsidR="00392B42" w:rsidRDefault="00B25493" w:rsidP="006B06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</w:rPr>
        <w:t>La spesa di personale derivante per l'anno 2025 è compatibile con il tetto di spesa in valore assoluto stabilito ai sensi dell'</w:t>
      </w:r>
      <w:r>
        <w:rPr>
          <w:rFonts w:ascii="Google Sans Text" w:eastAsia="Google Sans Text" w:hAnsi="Google Sans Text" w:cs="Google Sans Text"/>
          <w:b/>
          <w:color w:val="1B1C1D"/>
        </w:rPr>
        <w:t>Articolo 1, comma 557, della Legge 296/2006</w:t>
      </w:r>
      <w:r w:rsidR="009731FC">
        <w:rPr>
          <w:rFonts w:ascii="Google Sans Text" w:eastAsia="Google Sans Text" w:hAnsi="Google Sans Text" w:cs="Google Sans Text"/>
          <w:b/>
          <w:color w:val="1B1C1D"/>
        </w:rPr>
        <w:t xml:space="preserve">, </w:t>
      </w:r>
      <w:r w:rsidR="009731FC" w:rsidRPr="004203C5">
        <w:rPr>
          <w:rFonts w:ascii="Google Sans Text" w:eastAsia="Google Sans Text" w:hAnsi="Google Sans Text" w:cs="Google Sans Text"/>
          <w:bCs/>
          <w:color w:val="1B1C1D"/>
        </w:rPr>
        <w:t xml:space="preserve">nonché </w:t>
      </w:r>
      <w:r w:rsidR="004203C5" w:rsidRPr="004203C5">
        <w:rPr>
          <w:rFonts w:ascii="Google Sans Text" w:eastAsia="Google Sans Text" w:hAnsi="Google Sans Text" w:cs="Google Sans Text"/>
          <w:bCs/>
          <w:color w:val="1B1C1D"/>
        </w:rPr>
        <w:t xml:space="preserve">alle deroghe previste </w:t>
      </w:r>
      <w:r w:rsidR="004203C5">
        <w:rPr>
          <w:rFonts w:ascii="Google Sans Text" w:eastAsia="Google Sans Text" w:hAnsi="Google Sans Text" w:cs="Google Sans Text"/>
          <w:b/>
          <w:color w:val="1B1C1D"/>
        </w:rPr>
        <w:t>dall’art. 33 c. 2 del dl 34/2019</w:t>
      </w:r>
      <w:r>
        <w:rPr>
          <w:rFonts w:ascii="Google Sans Text" w:eastAsia="Google Sans Text" w:hAnsi="Google Sans Text" w:cs="Google Sans Text"/>
          <w:color w:val="1B1C1D"/>
        </w:rPr>
        <w:t>.</w:t>
      </w:r>
    </w:p>
    <w:p w14:paraId="0A8F8F45" w14:textId="4C0ACE1B" w:rsidR="00392B42" w:rsidRDefault="00B25493" w:rsidP="006B06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</w:rPr>
        <w:t>Si è tenuto conto delle specifiche deroghe in materia di capacità assunzionale e di spesa per il personale destinato all'attuazione di progetti finanziati da fondi PNRR o PNC, come previsto dall'</w:t>
      </w:r>
      <w:r>
        <w:rPr>
          <w:rFonts w:ascii="Google Sans Text" w:eastAsia="Google Sans Text" w:hAnsi="Google Sans Text" w:cs="Google Sans Text"/>
          <w:b/>
          <w:color w:val="1B1C1D"/>
        </w:rPr>
        <w:t>Articolo 31-bis, comma 5, del D.L. n. 152/2021</w:t>
      </w:r>
      <w:r>
        <w:rPr>
          <w:rFonts w:ascii="Google Sans Text" w:eastAsia="Google Sans Text" w:hAnsi="Google Sans Text" w:cs="Google Sans Text"/>
          <w:color w:val="1B1C1D"/>
        </w:rPr>
        <w:t>.</w:t>
      </w:r>
    </w:p>
    <w:p w14:paraId="0A8F8F46" w14:textId="77777777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L'efficacia della pianificazione delle risorse umane è intrinsecamente connessa alla disponibilità finanziaria, pertanto l'approvazione del PTFP, contenuta nel PIAO, è un atto di natura organizzativa che produce effetti diretti sul bilancio, rendendo imprescindibile l'acquisizione dei pareri contabili e del Revisore.</w:t>
      </w:r>
    </w:p>
    <w:p w14:paraId="0A8F8F48" w14:textId="77777777" w:rsidR="00392B42" w:rsidRDefault="00B25493" w:rsidP="006B064B">
      <w:pPr>
        <w:pStyle w:val="Titolo2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Istruttoria e Acquisizione dei Pareri Obbligatori</w:t>
      </w:r>
    </w:p>
    <w:p w14:paraId="0A8F8F4B" w14:textId="77777777" w:rsidR="00392B42" w:rsidRDefault="00B25493" w:rsidP="006B064B">
      <w:pPr>
        <w:pStyle w:val="Titolo3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1. Formalizzazione e Pareri Istituzionali</w:t>
      </w:r>
    </w:p>
    <w:p w14:paraId="0A8F8F4D" w14:textId="77777777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PRESO ATTO</w:t>
      </w:r>
      <w:r>
        <w:rPr>
          <w:rFonts w:ascii="Google Sans Text" w:eastAsia="Google Sans Text" w:hAnsi="Google Sans Text" w:cs="Google Sans Text"/>
          <w:color w:val="1B1C1D"/>
        </w:rPr>
        <w:t xml:space="preserve"> che il PIAO 2025/2027 è stato elaborato in forma di Piano tipo e completo in ogni sua Sezione, sotto il coordinamento del Servizio Risorse Umane, ed è allegato al presente atto (Allegato A).</w:t>
      </w:r>
    </w:p>
    <w:p w14:paraId="0A8F8F4E" w14:textId="77777777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Ai sensi dell'</w:t>
      </w:r>
      <w:r>
        <w:rPr>
          <w:rFonts w:ascii="Google Sans Text" w:eastAsia="Google Sans Text" w:hAnsi="Google Sans Text" w:cs="Google Sans Text"/>
          <w:b/>
          <w:color w:val="1B1C1D"/>
        </w:rPr>
        <w:t>Articolo 49, comma 1, del D.Lgs. n. 267/2000</w:t>
      </w:r>
      <w:r>
        <w:rPr>
          <w:rFonts w:ascii="Google Sans Text" w:eastAsia="Google Sans Text" w:hAnsi="Google Sans Text" w:cs="Google Sans Text"/>
          <w:color w:val="1B1C1D"/>
        </w:rPr>
        <w:t>, la proposta è stata sottoposta ai responsabili dei servizi competenti:</w:t>
      </w:r>
    </w:p>
    <w:p w14:paraId="0A8F8F4F" w14:textId="2DE3278A" w:rsidR="00392B42" w:rsidRDefault="00B25493" w:rsidP="006B06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PARERE DI REGOLARITÀ TECNICA:</w:t>
      </w:r>
      <w:r>
        <w:rPr>
          <w:rFonts w:ascii="Google Sans Text" w:eastAsia="Google Sans Text" w:hAnsi="Google Sans Text" w:cs="Google Sans Text"/>
          <w:color w:val="1B1C1D"/>
        </w:rPr>
        <w:t xml:space="preserve"> Acquisito il parere favorevole di Regolarità Tecnica in data </w:t>
      </w:r>
      <w:r w:rsidR="00CE3C99">
        <w:rPr>
          <w:rFonts w:ascii="Google Sans Text" w:eastAsia="Google Sans Text" w:hAnsi="Google Sans Text" w:cs="Google Sans Text"/>
          <w:color w:val="1B1C1D"/>
        </w:rPr>
        <w:t>_____________</w:t>
      </w:r>
      <w:r>
        <w:rPr>
          <w:rFonts w:ascii="Google Sans Text" w:eastAsia="Google Sans Text" w:hAnsi="Google Sans Text" w:cs="Google Sans Text"/>
          <w:color w:val="1B1C1D"/>
        </w:rPr>
        <w:t xml:space="preserve">, espresso da </w:t>
      </w:r>
      <w:r w:rsidR="00CE3C99">
        <w:rPr>
          <w:rFonts w:ascii="Google Sans Text" w:eastAsia="Google Sans Text" w:hAnsi="Google Sans Text" w:cs="Google Sans Text"/>
          <w:color w:val="1B1C1D"/>
        </w:rPr>
        <w:t>______________________</w:t>
      </w:r>
      <w:r>
        <w:rPr>
          <w:rFonts w:ascii="Google Sans Text" w:eastAsia="Google Sans Text" w:hAnsi="Google Sans Text" w:cs="Google Sans Text"/>
          <w:color w:val="1B1C1D"/>
        </w:rPr>
        <w:t>(Allegato B).</w:t>
      </w:r>
    </w:p>
    <w:p w14:paraId="0A8F8F50" w14:textId="347AB608" w:rsidR="00392B42" w:rsidRDefault="00B25493" w:rsidP="006B06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PARERE DI REGOLARITÀ CONTABILE:</w:t>
      </w:r>
      <w:r>
        <w:rPr>
          <w:rFonts w:ascii="Google Sans Text" w:eastAsia="Google Sans Text" w:hAnsi="Google Sans Text" w:cs="Google Sans Text"/>
          <w:color w:val="1B1C1D"/>
        </w:rPr>
        <w:t xml:space="preserve"> Acquisito il parere favorevole di Regolarità Contabile in data </w:t>
      </w:r>
      <w:r w:rsidR="00CE3C99">
        <w:rPr>
          <w:rFonts w:ascii="Google Sans Text" w:eastAsia="Google Sans Text" w:hAnsi="Google Sans Text" w:cs="Google Sans Text"/>
          <w:color w:val="1B1C1D"/>
        </w:rPr>
        <w:t>_________</w:t>
      </w:r>
      <w:r>
        <w:rPr>
          <w:rFonts w:ascii="Google Sans Text" w:eastAsia="Google Sans Text" w:hAnsi="Google Sans Text" w:cs="Google Sans Text"/>
          <w:color w:val="1B1C1D"/>
        </w:rPr>
        <w:t xml:space="preserve">, espresso da </w:t>
      </w:r>
      <w:r w:rsidR="00CE3C99">
        <w:rPr>
          <w:rFonts w:ascii="Google Sans Text" w:eastAsia="Google Sans Text" w:hAnsi="Google Sans Text" w:cs="Google Sans Text"/>
          <w:color w:val="1B1C1D"/>
        </w:rPr>
        <w:t>________________________________</w:t>
      </w:r>
      <w:r>
        <w:rPr>
          <w:rFonts w:ascii="Google Sans Text" w:eastAsia="Google Sans Text" w:hAnsi="Google Sans Text" w:cs="Google Sans Text"/>
          <w:color w:val="1B1C1D"/>
        </w:rPr>
        <w:t>(Allegato C), attestante la copertura finanziaria della spesa di personale prevista nel PTFP.</w:t>
      </w:r>
    </w:p>
    <w:p w14:paraId="0A8F8F52" w14:textId="77777777" w:rsidR="00392B42" w:rsidRDefault="00B25493" w:rsidP="006B064B">
      <w:pPr>
        <w:pStyle w:val="Titolo3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 Controllo dell'Organo di Revisione e Adempimenti Sindacali</w:t>
      </w:r>
    </w:p>
    <w:p w14:paraId="0A8F8F54" w14:textId="77777777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VISTO</w:t>
      </w:r>
      <w:r>
        <w:rPr>
          <w:rFonts w:ascii="Google Sans Text" w:eastAsia="Google Sans Text" w:hAnsi="Google Sans Text" w:cs="Google Sans Text"/>
          <w:color w:val="1B1C1D"/>
        </w:rPr>
        <w:t xml:space="preserve"> che la Sezione 3 (Organizzazione e Capitale Umano), contenente la programmazione dei fabbisogni di personale, è stata trasmessa all'Organo di Revisione Economico-Finanziaria.</w:t>
      </w:r>
    </w:p>
    <w:p w14:paraId="0A8F8F55" w14:textId="6A20CB28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lastRenderedPageBreak/>
        <w:t>DATO ATTO</w:t>
      </w:r>
      <w:r>
        <w:rPr>
          <w:rFonts w:ascii="Google Sans Text" w:eastAsia="Google Sans Text" w:hAnsi="Google Sans Text" w:cs="Google Sans Text"/>
          <w:color w:val="1B1C1D"/>
        </w:rPr>
        <w:t xml:space="preserve"> che l’Organo di Revisione dei Conti ha espresso il parere </w:t>
      </w:r>
      <w:r>
        <w:rPr>
          <w:rFonts w:ascii="Google Sans Text" w:eastAsia="Google Sans Text" w:hAnsi="Google Sans Text" w:cs="Google Sans Text"/>
          <w:color w:val="1B1C1D"/>
        </w:rPr>
        <w:t xml:space="preserve">Verbale n. </w:t>
      </w:r>
      <w:r w:rsidR="00976713">
        <w:rPr>
          <w:rFonts w:ascii="Google Sans Text" w:eastAsia="Google Sans Text" w:hAnsi="Google Sans Text" w:cs="Google Sans Text"/>
          <w:color w:val="1B1C1D"/>
        </w:rPr>
        <w:t>______</w:t>
      </w:r>
      <w:r>
        <w:rPr>
          <w:rFonts w:ascii="Google Sans Text" w:eastAsia="Google Sans Text" w:hAnsi="Google Sans Text" w:cs="Google Sans Text"/>
          <w:color w:val="1B1C1D"/>
        </w:rPr>
        <w:t xml:space="preserve"> in data </w:t>
      </w:r>
      <w:r w:rsidR="00976713">
        <w:rPr>
          <w:rFonts w:ascii="Google Sans Text" w:eastAsia="Google Sans Text" w:hAnsi="Google Sans Text" w:cs="Google Sans Text"/>
          <w:color w:val="1B1C1D"/>
        </w:rPr>
        <w:t>_______________.</w:t>
      </w:r>
      <w:r>
        <w:rPr>
          <w:rFonts w:ascii="Google Sans Text" w:eastAsia="Google Sans Text" w:hAnsi="Google Sans Text" w:cs="Google Sans Text"/>
          <w:color w:val="1B1C1D"/>
        </w:rPr>
        <w:t xml:space="preserve"> L'espressione del parere favorevole da parte dell'organo di revisione è un elemento essenziale per l'efficacia della programmazione assunzionale.</w:t>
      </w:r>
    </w:p>
    <w:p w14:paraId="0A8F8F56" w14:textId="7F6EEE18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</w:pPr>
      <w:r>
        <w:rPr>
          <w:rFonts w:ascii="Google Sans Text" w:eastAsia="Google Sans Text" w:hAnsi="Google Sans Text" w:cs="Google Sans Text"/>
          <w:b/>
          <w:color w:val="1B1C1D"/>
        </w:rPr>
        <w:t>CONSIDERATO</w:t>
      </w:r>
      <w:r>
        <w:rPr>
          <w:rFonts w:ascii="Google Sans Text" w:eastAsia="Google Sans Text" w:hAnsi="Google Sans Text" w:cs="Google Sans Text"/>
          <w:color w:val="1B1C1D"/>
        </w:rPr>
        <w:t xml:space="preserve"> che gli adempimenti in materia di organizzazione e di personale richiedono la </w:t>
      </w:r>
      <w:r w:rsidR="00C031A0">
        <w:rPr>
          <w:rFonts w:ascii="Google Sans Text" w:eastAsia="Google Sans Text" w:hAnsi="Google Sans Text" w:cs="Google Sans Text"/>
          <w:color w:val="1B1C1D"/>
        </w:rPr>
        <w:t>preventiva</w:t>
      </w:r>
      <w:r>
        <w:rPr>
          <w:rFonts w:ascii="Google Sans Text" w:eastAsia="Google Sans Text" w:hAnsi="Google Sans Text" w:cs="Google Sans Text"/>
          <w:color w:val="1B1C1D"/>
        </w:rPr>
        <w:t xml:space="preserve"> informazione alle rappresentanze sindacali</w:t>
      </w:r>
      <w:r w:rsidR="00BA5B84">
        <w:rPr>
          <w:rFonts w:ascii="Google Sans Text" w:eastAsia="Google Sans Text" w:hAnsi="Google Sans Text" w:cs="Google Sans Text"/>
          <w:color w:val="1B1C1D"/>
        </w:rPr>
        <w:t xml:space="preserve"> (non finalizzata al confronto), che si è quindi provveduto </w:t>
      </w:r>
      <w:r>
        <w:rPr>
          <w:rFonts w:ascii="Google Sans Text" w:eastAsia="Google Sans Text" w:hAnsi="Google Sans Text" w:cs="Google Sans Text"/>
          <w:color w:val="1B1C1D"/>
        </w:rPr>
        <w:t>a trasmettere la Sezione 3 del Piano alle Organizzazioni Sindacali (OO.SS.) e alla Rappresentanza Sindacale Unitaria (RSU)</w:t>
      </w:r>
      <w:r w:rsidR="0040477B">
        <w:rPr>
          <w:rFonts w:ascii="Google Sans Text" w:eastAsia="Google Sans Text" w:hAnsi="Google Sans Text" w:cs="Google Sans Text"/>
          <w:color w:val="1B1C1D"/>
        </w:rPr>
        <w:t>, con prot. _____ del _________________.</w:t>
      </w:r>
    </w:p>
    <w:p w14:paraId="0A8F8F58" w14:textId="77777777" w:rsidR="00392B42" w:rsidRDefault="00B25493" w:rsidP="006B064B">
      <w:pPr>
        <w:pStyle w:val="Titolo2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Dispositivo della Delibera (DELIBERA)</w:t>
      </w:r>
    </w:p>
    <w:p w14:paraId="0A8F8F5A" w14:textId="77777777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Sulla base delle premesse e dei pareri favorevoli acquisiti agli atti, la Giunta Comunale,</w:t>
      </w:r>
    </w:p>
    <w:p w14:paraId="0A8F8F5B" w14:textId="77777777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DELIBERA</w:t>
      </w:r>
    </w:p>
    <w:p w14:paraId="0A8F8F5C" w14:textId="77777777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1. Di APPROVARE</w:t>
      </w:r>
      <w:r>
        <w:rPr>
          <w:rFonts w:ascii="Google Sans Text" w:eastAsia="Google Sans Text" w:hAnsi="Google Sans Text" w:cs="Google Sans Text"/>
          <w:color w:val="1B1C1D"/>
        </w:rPr>
        <w:t xml:space="preserve"> il Piano Integrato di Attività e Organizzazione (PIAO) per il triennio 2025/2027, con particolare riferimento alla programmazione operativa per l'annualità 2025, come documento allegato (Allegato A) che costituisce parte integrante e sostanziale del presente provvedimento.</w:t>
      </w:r>
    </w:p>
    <w:p w14:paraId="0A8F8F5D" w14:textId="77777777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2. Di DARE ATTO</w:t>
      </w:r>
      <w:r>
        <w:rPr>
          <w:rFonts w:ascii="Google Sans Text" w:eastAsia="Google Sans Text" w:hAnsi="Google Sans Text" w:cs="Google Sans Text"/>
          <w:color w:val="1B1C1D"/>
        </w:rPr>
        <w:t xml:space="preserve"> che l'approvazione del PIAO comporta l'assorbimento e la conseguente soppressione, quali atti distinti, del Piano della Performance, del Piano Triennale per la Prevenzione della Corruzione e Trasparenza, del Piano Triennale dei Fabbisogni del Personale e del Piano Organizzativo del Lavoro Agile (POLA), in virtù delle disposizioni semplificative introdotte dall'Articolo 6 del D.L. 80/2021.</w:t>
      </w:r>
    </w:p>
    <w:p w14:paraId="0A8F8F5E" w14:textId="06042E7B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3. Di DEMANDARE</w:t>
      </w:r>
      <w:r>
        <w:rPr>
          <w:rFonts w:ascii="Google Sans Text" w:eastAsia="Google Sans Text" w:hAnsi="Google Sans Text" w:cs="Google Sans Text"/>
          <w:color w:val="1B1C1D"/>
        </w:rPr>
        <w:t xml:space="preserve"> al Segretario Comunale e ai </w:t>
      </w:r>
      <w:r>
        <w:rPr>
          <w:rFonts w:ascii="Google Sans Text" w:eastAsia="Google Sans Text" w:hAnsi="Google Sans Text" w:cs="Google Sans Text"/>
          <w:color w:val="1B1C1D"/>
        </w:rPr>
        <w:t>Responsabili dei Servizi competenti tutti gli adempimenti consequenziali per l'attuazione degli obiettivi di Valore Pubblico e delle azioni previste, inclusa la gestione delle procedure concorsuali e di mobilità definite nel PTFP 2025.</w:t>
      </w:r>
    </w:p>
    <w:p w14:paraId="0A8F8F5F" w14:textId="39B635A1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 xml:space="preserve">4. Di </w:t>
      </w:r>
      <w:r w:rsidR="008E3E2D">
        <w:rPr>
          <w:rFonts w:ascii="Google Sans Text" w:eastAsia="Google Sans Text" w:hAnsi="Google Sans Text" w:cs="Google Sans Text"/>
          <w:b/>
          <w:color w:val="1B1C1D"/>
        </w:rPr>
        <w:t xml:space="preserve">AVER </w:t>
      </w:r>
      <w:r>
        <w:rPr>
          <w:rFonts w:ascii="Google Sans Text" w:eastAsia="Google Sans Text" w:hAnsi="Google Sans Text" w:cs="Google Sans Text"/>
          <w:b/>
          <w:color w:val="1B1C1D"/>
        </w:rPr>
        <w:t>DISPO</w:t>
      </w:r>
      <w:r w:rsidR="008E3E2D">
        <w:rPr>
          <w:rFonts w:ascii="Google Sans Text" w:eastAsia="Google Sans Text" w:hAnsi="Google Sans Text" w:cs="Google Sans Text"/>
          <w:b/>
          <w:color w:val="1B1C1D"/>
        </w:rPr>
        <w:t>STO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875CE5">
        <w:rPr>
          <w:rFonts w:ascii="Google Sans Text" w:eastAsia="Google Sans Text" w:hAnsi="Google Sans Text" w:cs="Google Sans Text"/>
          <w:color w:val="1B1C1D"/>
        </w:rPr>
        <w:t xml:space="preserve">regolarmente </w:t>
      </w:r>
      <w:r>
        <w:rPr>
          <w:rFonts w:ascii="Google Sans Text" w:eastAsia="Google Sans Text" w:hAnsi="Google Sans Text" w:cs="Google Sans Text"/>
          <w:color w:val="1B1C1D"/>
        </w:rPr>
        <w:t>la trasmissione della Sezione 3 "Organizzazione e Capitale Umano" del PIAO</w:t>
      </w:r>
      <w:r w:rsidR="008E3E2D">
        <w:rPr>
          <w:rFonts w:ascii="Google Sans Text" w:eastAsia="Google Sans Text" w:hAnsi="Google Sans Text" w:cs="Google Sans Text"/>
          <w:color w:val="1B1C1D"/>
        </w:rPr>
        <w:t xml:space="preserve"> </w:t>
      </w:r>
      <w:r>
        <w:rPr>
          <w:rFonts w:ascii="Google Sans Text" w:eastAsia="Google Sans Text" w:hAnsi="Google Sans Text" w:cs="Google Sans Text"/>
          <w:color w:val="1B1C1D"/>
        </w:rPr>
        <w:t>all'Organo di Revisione e, per conoscenza e informazione, alle Organizzazioni Sindacali (OO.SS.) e alla Rappresentanza Sindacale Unitaria (RSU).</w:t>
      </w:r>
    </w:p>
    <w:p w14:paraId="0A8F8F60" w14:textId="77777777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5. Di DISPORRE</w:t>
      </w:r>
      <w:r>
        <w:rPr>
          <w:rFonts w:ascii="Google Sans Text" w:eastAsia="Google Sans Text" w:hAnsi="Google Sans Text" w:cs="Google Sans Text"/>
          <w:color w:val="1B1C1D"/>
        </w:rPr>
        <w:t xml:space="preserve"> la pubblicazione del presente atto e del PIAO nella sezione "Amministrazione Trasparente - Disposizioni Generali - PIAO" del sito istituzionale, in adempimento degli obblighi di trasparenza vigenti.</w:t>
      </w:r>
    </w:p>
    <w:p w14:paraId="0A8F8F61" w14:textId="567C3809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</w:pPr>
      <w:r>
        <w:rPr>
          <w:rFonts w:ascii="Google Sans Text" w:eastAsia="Google Sans Text" w:hAnsi="Google Sans Text" w:cs="Google Sans Text"/>
          <w:b/>
          <w:color w:val="1B1C1D"/>
        </w:rPr>
        <w:t>6. Di DICHIARARE</w:t>
      </w:r>
      <w:r>
        <w:rPr>
          <w:rFonts w:ascii="Google Sans Text" w:eastAsia="Google Sans Text" w:hAnsi="Google Sans Text" w:cs="Google Sans Text"/>
          <w:color w:val="1B1C1D"/>
        </w:rPr>
        <w:t xml:space="preserve"> il presente atto deliberativo immediatamente eseguibile, ai sensi dell'</w:t>
      </w:r>
      <w:r>
        <w:rPr>
          <w:rFonts w:ascii="Google Sans Text" w:eastAsia="Google Sans Text" w:hAnsi="Google Sans Text" w:cs="Google Sans Text"/>
          <w:b/>
          <w:color w:val="1B1C1D"/>
        </w:rPr>
        <w:t>Articolo 134, comma 4, del D. Lgs. 18 agosto 2000, n. 267 (TUEL)</w:t>
      </w:r>
      <w:r>
        <w:rPr>
          <w:rFonts w:ascii="Google Sans Text" w:eastAsia="Google Sans Text" w:hAnsi="Google Sans Text" w:cs="Google Sans Text"/>
          <w:color w:val="1B1C1D"/>
        </w:rPr>
        <w:t>, al fine di garantire l'immediata operatività della programmazione assunzionale e organizzativa, elemento indispensabile per l'efficacia e l'efficienza amministrativa, specialmente in relazione all'esecuzione delle misure finanziate dal PNRR.</w:t>
      </w:r>
    </w:p>
    <w:p w14:paraId="0A8F8F62" w14:textId="77777777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</w:pPr>
      <w:r>
        <w:lastRenderedPageBreak/>
        <w:pict w14:anchorId="0A8F8F81">
          <v:rect id="_x0000_i1026" style="width:0;height:1.5pt" o:hralign="center" o:hrstd="t" o:hr="t" fillcolor="#a0a0a0" stroked="f"/>
        </w:pict>
      </w:r>
    </w:p>
    <w:tbl>
      <w:tblPr>
        <w:tblStyle w:val="a0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92B42" w14:paraId="0A8F8F6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F8F63" w14:textId="77777777" w:rsidR="00392B42" w:rsidRDefault="00B25493" w:rsidP="006B0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Il Responsabile del Servizio Proponente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F8F64" w14:textId="77777777" w:rsidR="00392B42" w:rsidRDefault="00B25493" w:rsidP="006B0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Il Segretario Comunale</w:t>
            </w:r>
          </w:p>
        </w:tc>
      </w:tr>
      <w:tr w:rsidR="00392B42" w14:paraId="0A8F8F6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F8F66" w14:textId="0AD29543" w:rsidR="00392B42" w:rsidRDefault="00B25493" w:rsidP="006B0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i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F.to ________________________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F8F67" w14:textId="30E1A44A" w:rsidR="00392B42" w:rsidRDefault="00B25493" w:rsidP="006B0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i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F.to ___________________</w:t>
            </w:r>
          </w:p>
        </w:tc>
      </w:tr>
    </w:tbl>
    <w:p w14:paraId="0A8F8F69" w14:textId="77777777" w:rsidR="00392B42" w:rsidRDefault="00B25493" w:rsidP="006B064B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jc w:val="both"/>
        <w:rPr>
          <w:rFonts w:ascii="Google Sans Text" w:eastAsia="Google Sans Text" w:hAnsi="Google Sans Text" w:cs="Google Sans Text"/>
          <w:i/>
          <w:color w:val="1B1C1D"/>
        </w:rPr>
      </w:pPr>
      <w:r>
        <w:pict w14:anchorId="0A8F8F82">
          <v:rect id="_x0000_i1027" style="width:0;height:1.5pt" o:hralign="center" o:hrstd="t" o:hr="t" fillcolor="#a0a0a0" stroked="f"/>
        </w:pict>
      </w:r>
    </w:p>
    <w:p w14:paraId="0A8F8F6A" w14:textId="77777777" w:rsidR="00392B42" w:rsidRDefault="00B25493" w:rsidP="006B064B">
      <w:pPr>
        <w:pStyle w:val="Titolo2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Allegati e Segue</w:t>
      </w:r>
    </w:p>
    <w:p w14:paraId="0A8F8F6C" w14:textId="77777777" w:rsidR="00392B42" w:rsidRDefault="00B25493" w:rsidP="006B06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Allegato A:</w:t>
      </w:r>
      <w:r>
        <w:rPr>
          <w:rFonts w:ascii="Google Sans Text" w:eastAsia="Google Sans Text" w:hAnsi="Google Sans Text" w:cs="Google Sans Text"/>
          <w:color w:val="1B1C1D"/>
        </w:rPr>
        <w:t xml:space="preserve"> Piano Integrato di Attività e Organizzazione (PIAO) 2025/2027 – (Documento tecnico)</w:t>
      </w:r>
    </w:p>
    <w:p w14:paraId="0A8F8F6D" w14:textId="77777777" w:rsidR="00392B42" w:rsidRDefault="00B25493" w:rsidP="006B06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Allegato B:</w:t>
      </w:r>
      <w:r>
        <w:rPr>
          <w:rFonts w:ascii="Google Sans Text" w:eastAsia="Google Sans Text" w:hAnsi="Google Sans Text" w:cs="Google Sans Text"/>
          <w:color w:val="1B1C1D"/>
        </w:rPr>
        <w:t xml:space="preserve"> Parere di Regolarità Tecnica</w:t>
      </w:r>
    </w:p>
    <w:p w14:paraId="0A8F8F6E" w14:textId="77777777" w:rsidR="00392B42" w:rsidRDefault="00B25493" w:rsidP="006B06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Allegato C:</w:t>
      </w:r>
      <w:r>
        <w:rPr>
          <w:rFonts w:ascii="Google Sans Text" w:eastAsia="Google Sans Text" w:hAnsi="Google Sans Text" w:cs="Google Sans Text"/>
          <w:color w:val="1B1C1D"/>
        </w:rPr>
        <w:t xml:space="preserve"> Parere di Regolarità Contabile</w:t>
      </w:r>
    </w:p>
    <w:p w14:paraId="0A8F8F6F" w14:textId="77777777" w:rsidR="00392B42" w:rsidRDefault="00B25493" w:rsidP="006B06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Atti Consequenziali:</w:t>
      </w:r>
      <w:r>
        <w:rPr>
          <w:rFonts w:ascii="Google Sans Text" w:eastAsia="Google Sans Text" w:hAnsi="Google Sans Text" w:cs="Google Sans Text"/>
          <w:color w:val="1B1C1D"/>
        </w:rPr>
        <w:t xml:space="preserve"> Il presente provvedimento è soggetto a pubblicazione all'Albo Pretorio on line.</w:t>
      </w:r>
    </w:p>
    <w:p w14:paraId="0A8F8F7F" w14:textId="6258C869" w:rsidR="00392B42" w:rsidRDefault="00392B42" w:rsidP="006B064B">
      <w:pPr>
        <w:pBdr>
          <w:top w:val="nil"/>
          <w:left w:val="nil"/>
          <w:bottom w:val="nil"/>
          <w:right w:val="nil"/>
          <w:between w:val="nil"/>
        </w:pBdr>
        <w:jc w:val="both"/>
      </w:pPr>
    </w:p>
    <w:sectPr w:rsidR="00392B4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5CA55DE1-76D5-4CC9-B330-7F4954E38DD6}"/>
    <w:embedItalic r:id="rId2" w:fontKey="{54137B46-0615-4500-A873-F2CCB2B9FF7D}"/>
  </w:font>
  <w:font w:name="Google Sans">
    <w:charset w:val="00"/>
    <w:family w:val="auto"/>
    <w:pitch w:val="default"/>
    <w:embedRegular r:id="rId3" w:fontKey="{E7714A04-9E19-4885-A8F5-481137248DA3}"/>
    <w:embedBold r:id="rId4" w:fontKey="{89B54ED2-9793-4BBE-9017-A8398D3D6AC9}"/>
  </w:font>
  <w:font w:name="Google Sans Text">
    <w:charset w:val="00"/>
    <w:family w:val="auto"/>
    <w:pitch w:val="default"/>
    <w:embedRegular r:id="rId5" w:fontKey="{700B2DEA-9DCF-41C1-87A3-0C348620CD9F}"/>
    <w:embedBold r:id="rId6" w:fontKey="{5221FD69-AF4D-4B72-BAED-93B22D39B1EF}"/>
    <w:embedItalic r:id="rId7" w:fontKey="{B843B210-75D4-40BC-A5CF-006CBDE432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4EF0631-ADE4-4C92-969D-226CFDC741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09FA080-741D-46CE-A78D-A789B4FCCE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E12B1A"/>
    <w:multiLevelType w:val="multilevel"/>
    <w:tmpl w:val="63507342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3BC2E03"/>
    <w:multiLevelType w:val="multilevel"/>
    <w:tmpl w:val="A81A6114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2F5512DE"/>
    <w:multiLevelType w:val="multilevel"/>
    <w:tmpl w:val="089CA45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34346179"/>
    <w:multiLevelType w:val="multilevel"/>
    <w:tmpl w:val="5A3C3F7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06D649E"/>
    <w:multiLevelType w:val="multilevel"/>
    <w:tmpl w:val="4CB8C71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46D93353"/>
    <w:multiLevelType w:val="multilevel"/>
    <w:tmpl w:val="8C16D06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682A6C7A"/>
    <w:multiLevelType w:val="multilevel"/>
    <w:tmpl w:val="A604798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254784117">
    <w:abstractNumId w:val="4"/>
  </w:num>
  <w:num w:numId="2" w16cid:durableId="1431966895">
    <w:abstractNumId w:val="2"/>
  </w:num>
  <w:num w:numId="3" w16cid:durableId="1770664700">
    <w:abstractNumId w:val="0"/>
  </w:num>
  <w:num w:numId="4" w16cid:durableId="1460610444">
    <w:abstractNumId w:val="5"/>
  </w:num>
  <w:num w:numId="5" w16cid:durableId="218133132">
    <w:abstractNumId w:val="6"/>
  </w:num>
  <w:num w:numId="6" w16cid:durableId="953485136">
    <w:abstractNumId w:val="3"/>
  </w:num>
  <w:num w:numId="7" w16cid:durableId="797913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B42"/>
    <w:rsid w:val="00002BD8"/>
    <w:rsid w:val="002278DB"/>
    <w:rsid w:val="00262E0A"/>
    <w:rsid w:val="002A0653"/>
    <w:rsid w:val="00392B42"/>
    <w:rsid w:val="0040477B"/>
    <w:rsid w:val="00416140"/>
    <w:rsid w:val="004203C5"/>
    <w:rsid w:val="004250BC"/>
    <w:rsid w:val="006B064B"/>
    <w:rsid w:val="008202F6"/>
    <w:rsid w:val="00875CE5"/>
    <w:rsid w:val="008E3E2D"/>
    <w:rsid w:val="00947DC8"/>
    <w:rsid w:val="009731FC"/>
    <w:rsid w:val="00976713"/>
    <w:rsid w:val="00A8566E"/>
    <w:rsid w:val="00B25493"/>
    <w:rsid w:val="00B70416"/>
    <w:rsid w:val="00BA5B84"/>
    <w:rsid w:val="00C031A0"/>
    <w:rsid w:val="00CE3C99"/>
    <w:rsid w:val="00D47BE8"/>
    <w:rsid w:val="00E86277"/>
    <w:rsid w:val="00F50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A8F8F05"/>
  <w15:docId w15:val="{D121D458-A857-488E-ACE0-0923F3D89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1708</Words>
  <Characters>9740</Characters>
  <Application>Microsoft Office Word</Application>
  <DocSecurity>0</DocSecurity>
  <Lines>81</Lines>
  <Paragraphs>22</Paragraphs>
  <ScaleCrop>false</ScaleCrop>
  <Company/>
  <LinksUpToDate>false</LinksUpToDate>
  <CharactersWithSpaces>11426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simone carmignani carmignaniconsulenza srls</cp:lastModifiedBy>
  <cp:revision>24</cp:revision>
  <dcterms:created xsi:type="dcterms:W3CDTF">2025-09-30T08:40:00Z</dcterms:created>
  <dcterms:modified xsi:type="dcterms:W3CDTF">2025-09-30T09:32:00Z</dcterms:modified>
</cp:coreProperties>
</file>