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CC2349" w14:textId="77777777" w:rsidR="00BB1DA7" w:rsidRDefault="00BB1DA7" w:rsidP="008912B9">
      <w:pPr>
        <w:jc w:val="center"/>
        <w:rPr>
          <w:b/>
          <w:bCs/>
          <w:u w:val="single"/>
        </w:rPr>
      </w:pPr>
    </w:p>
    <w:p w14:paraId="5C90B39F" w14:textId="77777777" w:rsidR="008A315C" w:rsidRDefault="008A315C" w:rsidP="008912B9">
      <w:pPr>
        <w:jc w:val="center"/>
        <w:rPr>
          <w:b/>
          <w:bCs/>
          <w:u w:val="single"/>
        </w:rPr>
      </w:pPr>
      <w:r w:rsidRPr="000B6FEA">
        <w:rPr>
          <w:rFonts w:ascii="Times New Roman" w:eastAsia="Bookman Old Style" w:hAnsi="Times New Roman" w:cs="Times New Roman"/>
          <w:noProof/>
          <w:lang w:val="en-US" w:bidi="en-US"/>
        </w:rPr>
        <w:drawing>
          <wp:inline distT="0" distB="0" distL="0" distR="0" wp14:anchorId="4142E8F6" wp14:editId="3EBACC6E">
            <wp:extent cx="631516" cy="933450"/>
            <wp:effectExtent l="0" t="0" r="0" b="0"/>
            <wp:docPr id="1" name="image1.jpeg" descr="Immagine che contiene disegnando  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870" cy="936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FE9A8A" w14:textId="77777777" w:rsidR="008A315C" w:rsidRDefault="008A315C" w:rsidP="008912B9">
      <w:pPr>
        <w:jc w:val="center"/>
        <w:rPr>
          <w:b/>
          <w:bCs/>
          <w:u w:val="single"/>
        </w:rPr>
      </w:pPr>
    </w:p>
    <w:p w14:paraId="5B7784A8" w14:textId="3647CFE0" w:rsidR="00AE48B3" w:rsidRPr="009E0220" w:rsidRDefault="008912B9" w:rsidP="008912B9">
      <w:pPr>
        <w:jc w:val="center"/>
        <w:rPr>
          <w:b/>
          <w:bCs/>
          <w:u w:val="single"/>
        </w:rPr>
      </w:pPr>
      <w:r w:rsidRPr="009E0220">
        <w:rPr>
          <w:b/>
          <w:bCs/>
          <w:u w:val="single"/>
        </w:rPr>
        <w:t xml:space="preserve">Contenuti fondamentali </w:t>
      </w:r>
      <w:r w:rsidR="00AE48B3" w:rsidRPr="009E0220">
        <w:rPr>
          <w:b/>
          <w:bCs/>
          <w:u w:val="single"/>
        </w:rPr>
        <w:t xml:space="preserve"> </w:t>
      </w:r>
      <w:r w:rsidRPr="009E0220">
        <w:rPr>
          <w:b/>
          <w:bCs/>
          <w:u w:val="single"/>
        </w:rPr>
        <w:t xml:space="preserve">per i Comuni </w:t>
      </w:r>
      <w:r w:rsidR="009E0220" w:rsidRPr="009E0220">
        <w:rPr>
          <w:b/>
          <w:bCs/>
          <w:u w:val="single"/>
        </w:rPr>
        <w:t>del disegno di legge di bilancio 2025</w:t>
      </w:r>
    </w:p>
    <w:p w14:paraId="6EDC3EB9" w14:textId="77777777" w:rsidR="008A315C" w:rsidRDefault="008A315C" w:rsidP="00BB1DA7">
      <w:pPr>
        <w:spacing w:after="60"/>
        <w:jc w:val="both"/>
        <w:rPr>
          <w:sz w:val="24"/>
          <w:szCs w:val="24"/>
        </w:rPr>
      </w:pPr>
    </w:p>
    <w:p w14:paraId="432E18E6" w14:textId="0F634860" w:rsidR="00B129FD" w:rsidRPr="00BB1DA7" w:rsidRDefault="00AE48B3" w:rsidP="00BB1DA7">
      <w:pPr>
        <w:spacing w:after="60"/>
        <w:jc w:val="both"/>
        <w:rPr>
          <w:sz w:val="24"/>
          <w:szCs w:val="24"/>
        </w:rPr>
      </w:pPr>
      <w:r w:rsidRPr="00BB1DA7">
        <w:rPr>
          <w:sz w:val="24"/>
          <w:szCs w:val="24"/>
        </w:rPr>
        <w:t xml:space="preserve">Si deve in premessa ricordare che i Comuni sono sottoposti </w:t>
      </w:r>
      <w:r w:rsidR="00126BA6" w:rsidRPr="00BB1DA7">
        <w:rPr>
          <w:sz w:val="24"/>
          <w:szCs w:val="24"/>
        </w:rPr>
        <w:t xml:space="preserve">a partire dal 2024 </w:t>
      </w:r>
      <w:r w:rsidRPr="00BB1DA7">
        <w:rPr>
          <w:sz w:val="24"/>
          <w:szCs w:val="24"/>
        </w:rPr>
        <w:t xml:space="preserve">ad </w:t>
      </w:r>
      <w:r w:rsidR="00126BA6" w:rsidRPr="00BB1DA7">
        <w:rPr>
          <w:sz w:val="24"/>
          <w:szCs w:val="24"/>
        </w:rPr>
        <w:t>un taglio di 300 mi</w:t>
      </w:r>
      <w:r w:rsidR="00D90C68" w:rsidRPr="00BB1DA7">
        <w:rPr>
          <w:sz w:val="24"/>
          <w:szCs w:val="24"/>
        </w:rPr>
        <w:t xml:space="preserve">lioni </w:t>
      </w:r>
      <w:r w:rsidRPr="00BB1DA7">
        <w:rPr>
          <w:sz w:val="24"/>
          <w:szCs w:val="24"/>
        </w:rPr>
        <w:t xml:space="preserve">annui </w:t>
      </w:r>
      <w:r w:rsidR="00D90C68" w:rsidRPr="00BB1DA7">
        <w:rPr>
          <w:sz w:val="24"/>
          <w:szCs w:val="24"/>
        </w:rPr>
        <w:t>per il 2024</w:t>
      </w:r>
      <w:r w:rsidRPr="00BB1DA7">
        <w:rPr>
          <w:sz w:val="24"/>
          <w:szCs w:val="24"/>
        </w:rPr>
        <w:t>-</w:t>
      </w:r>
      <w:r w:rsidR="00D90C68" w:rsidRPr="00BB1DA7">
        <w:rPr>
          <w:sz w:val="24"/>
          <w:szCs w:val="24"/>
        </w:rPr>
        <w:t xml:space="preserve">25 e di 200 milioni </w:t>
      </w:r>
      <w:r w:rsidRPr="00BB1DA7">
        <w:rPr>
          <w:sz w:val="24"/>
          <w:szCs w:val="24"/>
        </w:rPr>
        <w:t>annu</w:t>
      </w:r>
      <w:r w:rsidR="009E0220" w:rsidRPr="00BB1DA7">
        <w:rPr>
          <w:sz w:val="24"/>
          <w:szCs w:val="24"/>
        </w:rPr>
        <w:t>i</w:t>
      </w:r>
      <w:r w:rsidRPr="00BB1DA7">
        <w:rPr>
          <w:sz w:val="24"/>
          <w:szCs w:val="24"/>
        </w:rPr>
        <w:t xml:space="preserve"> per il 2026-28</w:t>
      </w:r>
      <w:r w:rsidR="00495C5A" w:rsidRPr="00BB1DA7">
        <w:rPr>
          <w:sz w:val="24"/>
          <w:szCs w:val="24"/>
        </w:rPr>
        <w:t>.</w:t>
      </w:r>
    </w:p>
    <w:p w14:paraId="574A1B72" w14:textId="77777777" w:rsidR="00F3186D" w:rsidRPr="00BB1DA7" w:rsidRDefault="00F3186D" w:rsidP="00BB1DA7">
      <w:pPr>
        <w:spacing w:after="60"/>
        <w:jc w:val="both"/>
        <w:rPr>
          <w:sz w:val="24"/>
          <w:szCs w:val="24"/>
        </w:rPr>
      </w:pPr>
    </w:p>
    <w:p w14:paraId="78282D93" w14:textId="2DDB53C0" w:rsidR="00395290" w:rsidRPr="00BB1DA7" w:rsidRDefault="00C751FC" w:rsidP="00BB1DA7">
      <w:pPr>
        <w:pStyle w:val="Paragrafoelenco"/>
        <w:numPr>
          <w:ilvl w:val="0"/>
          <w:numId w:val="2"/>
        </w:numPr>
        <w:spacing w:after="60"/>
        <w:jc w:val="both"/>
        <w:rPr>
          <w:b/>
          <w:bCs/>
          <w:sz w:val="24"/>
          <w:szCs w:val="24"/>
        </w:rPr>
      </w:pPr>
      <w:r w:rsidRPr="00BB1DA7">
        <w:rPr>
          <w:b/>
          <w:bCs/>
          <w:sz w:val="24"/>
          <w:szCs w:val="24"/>
        </w:rPr>
        <w:t xml:space="preserve">Il </w:t>
      </w:r>
      <w:r w:rsidR="00BD563C" w:rsidRPr="00BB1DA7">
        <w:rPr>
          <w:b/>
          <w:bCs/>
          <w:sz w:val="24"/>
          <w:szCs w:val="24"/>
        </w:rPr>
        <w:t xml:space="preserve">contenimento della spesa </w:t>
      </w:r>
      <w:r w:rsidR="00F3186D" w:rsidRPr="00BB1DA7">
        <w:rPr>
          <w:b/>
          <w:bCs/>
          <w:sz w:val="24"/>
          <w:szCs w:val="24"/>
        </w:rPr>
        <w:t>(art. 104)</w:t>
      </w:r>
    </w:p>
    <w:p w14:paraId="6B181293" w14:textId="125F33B9" w:rsidR="002F488E" w:rsidRPr="00BB1DA7" w:rsidRDefault="00BD563C" w:rsidP="00BB1DA7">
      <w:pPr>
        <w:spacing w:after="60"/>
        <w:jc w:val="both"/>
        <w:rPr>
          <w:b/>
          <w:bCs/>
          <w:sz w:val="24"/>
          <w:szCs w:val="24"/>
        </w:rPr>
      </w:pPr>
      <w:r w:rsidRPr="00BB1DA7">
        <w:rPr>
          <w:sz w:val="24"/>
          <w:szCs w:val="24"/>
        </w:rPr>
        <w:t xml:space="preserve">si applica con un </w:t>
      </w:r>
      <w:r w:rsidRPr="00BB1DA7">
        <w:rPr>
          <w:b/>
          <w:bCs/>
          <w:sz w:val="24"/>
          <w:szCs w:val="24"/>
        </w:rPr>
        <w:t>accantonamento obbligatorio di parte corrente</w:t>
      </w:r>
      <w:r w:rsidRPr="00BB1DA7">
        <w:rPr>
          <w:sz w:val="24"/>
          <w:szCs w:val="24"/>
        </w:rPr>
        <w:t xml:space="preserve"> </w:t>
      </w:r>
      <w:r w:rsidR="00395290" w:rsidRPr="00BB1DA7">
        <w:rPr>
          <w:sz w:val="24"/>
          <w:szCs w:val="24"/>
        </w:rPr>
        <w:t>spendibile l’anno successivo in conto capitale o con riduzione di disavanzo/debito. La misura dell’accantonamento ammonta</w:t>
      </w:r>
      <w:r w:rsidR="00492179" w:rsidRPr="00BB1DA7">
        <w:rPr>
          <w:sz w:val="24"/>
          <w:szCs w:val="24"/>
        </w:rPr>
        <w:t xml:space="preserve"> per il Comparto dei Comuni</w:t>
      </w:r>
      <w:r w:rsidR="00395290" w:rsidRPr="00BB1DA7">
        <w:rPr>
          <w:sz w:val="24"/>
          <w:szCs w:val="24"/>
        </w:rPr>
        <w:t xml:space="preserve"> a:</w:t>
      </w:r>
    </w:p>
    <w:p w14:paraId="132868AD" w14:textId="30CCBD01" w:rsidR="0000522B" w:rsidRPr="00BB1DA7" w:rsidRDefault="002A24EC" w:rsidP="00BB1DA7">
      <w:pPr>
        <w:spacing w:after="60"/>
        <w:ind w:left="360"/>
        <w:jc w:val="both"/>
        <w:rPr>
          <w:sz w:val="24"/>
          <w:szCs w:val="24"/>
        </w:rPr>
      </w:pPr>
      <w:r w:rsidRPr="00BB1DA7">
        <w:rPr>
          <w:sz w:val="24"/>
          <w:szCs w:val="24"/>
        </w:rPr>
        <w:t>130 milioni nel 2025</w:t>
      </w:r>
    </w:p>
    <w:p w14:paraId="55931E88" w14:textId="4F91294D" w:rsidR="002A24EC" w:rsidRPr="00BB1DA7" w:rsidRDefault="002A24EC" w:rsidP="00BB1DA7">
      <w:pPr>
        <w:spacing w:after="60"/>
        <w:ind w:left="360"/>
        <w:jc w:val="both"/>
        <w:rPr>
          <w:sz w:val="24"/>
          <w:szCs w:val="24"/>
        </w:rPr>
      </w:pPr>
      <w:r w:rsidRPr="00BB1DA7">
        <w:rPr>
          <w:sz w:val="24"/>
          <w:szCs w:val="24"/>
        </w:rPr>
        <w:t>260 milioni nel 2026</w:t>
      </w:r>
    </w:p>
    <w:p w14:paraId="4C516CBC" w14:textId="7AD35E87" w:rsidR="002A24EC" w:rsidRPr="00BB1DA7" w:rsidRDefault="00AB0557" w:rsidP="00BB1DA7">
      <w:pPr>
        <w:spacing w:after="60"/>
        <w:ind w:left="360"/>
        <w:jc w:val="both"/>
        <w:rPr>
          <w:sz w:val="24"/>
          <w:szCs w:val="24"/>
        </w:rPr>
      </w:pPr>
      <w:r w:rsidRPr="00BB1DA7">
        <w:rPr>
          <w:sz w:val="24"/>
          <w:szCs w:val="24"/>
        </w:rPr>
        <w:t>260 milioni nel 2027</w:t>
      </w:r>
    </w:p>
    <w:p w14:paraId="0068808A" w14:textId="0AFEE3FA" w:rsidR="00AB0557" w:rsidRPr="00121ED0" w:rsidRDefault="00121ED0" w:rsidP="00121ED0">
      <w:pPr>
        <w:pStyle w:val="Paragrafoelenco"/>
        <w:numPr>
          <w:ilvl w:val="0"/>
          <w:numId w:val="6"/>
        </w:numPr>
        <w:spacing w:after="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mi</w:t>
      </w:r>
      <w:r w:rsidR="00AB0557" w:rsidRPr="00121ED0">
        <w:rPr>
          <w:sz w:val="24"/>
          <w:szCs w:val="24"/>
        </w:rPr>
        <w:t>lioni nel 2028</w:t>
      </w:r>
    </w:p>
    <w:p w14:paraId="6027CF50" w14:textId="7DCAC264" w:rsidR="00AB0557" w:rsidRPr="00121ED0" w:rsidRDefault="00121ED0" w:rsidP="00121ED0">
      <w:pPr>
        <w:spacing w:after="6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440 </w:t>
      </w:r>
      <w:r w:rsidR="00952D28" w:rsidRPr="00121ED0">
        <w:rPr>
          <w:sz w:val="24"/>
          <w:szCs w:val="24"/>
        </w:rPr>
        <w:t>mi</w:t>
      </w:r>
      <w:r w:rsidR="004915E8" w:rsidRPr="00121ED0">
        <w:rPr>
          <w:sz w:val="24"/>
          <w:szCs w:val="24"/>
        </w:rPr>
        <w:t>lioni nel 2029</w:t>
      </w:r>
    </w:p>
    <w:p w14:paraId="223AF03C" w14:textId="77777777" w:rsidR="00492179" w:rsidRPr="00BB1DA7" w:rsidRDefault="00492179" w:rsidP="00BB1DA7">
      <w:pPr>
        <w:spacing w:after="60"/>
        <w:ind w:left="360"/>
        <w:jc w:val="both"/>
        <w:rPr>
          <w:sz w:val="24"/>
          <w:szCs w:val="24"/>
        </w:rPr>
      </w:pPr>
    </w:p>
    <w:p w14:paraId="41B03614" w14:textId="3FCB813C" w:rsidR="0081736D" w:rsidRPr="00BB1DA7" w:rsidRDefault="0081736D" w:rsidP="00BB1DA7">
      <w:pPr>
        <w:pStyle w:val="Paragrafoelenco"/>
        <w:numPr>
          <w:ilvl w:val="0"/>
          <w:numId w:val="2"/>
        </w:numPr>
        <w:spacing w:after="60"/>
        <w:jc w:val="both"/>
        <w:rPr>
          <w:b/>
          <w:bCs/>
          <w:sz w:val="24"/>
          <w:szCs w:val="24"/>
        </w:rPr>
      </w:pPr>
      <w:r w:rsidRPr="00BB1DA7">
        <w:rPr>
          <w:b/>
          <w:bCs/>
          <w:sz w:val="24"/>
          <w:szCs w:val="24"/>
        </w:rPr>
        <w:t>Riduzione/azzeramento fondi parte investimenti</w:t>
      </w:r>
    </w:p>
    <w:p w14:paraId="6AE1D631" w14:textId="19B027CD" w:rsidR="00B12549" w:rsidRDefault="00395290" w:rsidP="00B12549">
      <w:pPr>
        <w:spacing w:after="60"/>
        <w:jc w:val="both"/>
        <w:rPr>
          <w:sz w:val="24"/>
          <w:szCs w:val="24"/>
        </w:rPr>
      </w:pPr>
      <w:r w:rsidRPr="00B12549">
        <w:rPr>
          <w:sz w:val="24"/>
          <w:szCs w:val="24"/>
        </w:rPr>
        <w:t>sul versante dei finanziamenti vigenti riguardanti</w:t>
      </w:r>
      <w:r w:rsidR="00090504" w:rsidRPr="00B12549">
        <w:rPr>
          <w:sz w:val="24"/>
          <w:szCs w:val="24"/>
        </w:rPr>
        <w:t xml:space="preserve"> i finanziamenti per </w:t>
      </w:r>
      <w:r w:rsidRPr="00B12549">
        <w:rPr>
          <w:sz w:val="24"/>
          <w:szCs w:val="24"/>
        </w:rPr>
        <w:t xml:space="preserve">gli investimenti (piccole e medie opere, rigenerazione urbana, progettazione) </w:t>
      </w:r>
      <w:r w:rsidR="00B12549">
        <w:rPr>
          <w:sz w:val="24"/>
          <w:szCs w:val="24"/>
        </w:rPr>
        <w:t xml:space="preserve">sono previste </w:t>
      </w:r>
      <w:r w:rsidRPr="00B12549">
        <w:rPr>
          <w:sz w:val="24"/>
          <w:szCs w:val="24"/>
        </w:rPr>
        <w:t>riduzion</w:t>
      </w:r>
      <w:r w:rsidR="00B12549">
        <w:rPr>
          <w:sz w:val="24"/>
          <w:szCs w:val="24"/>
        </w:rPr>
        <w:t>i</w:t>
      </w:r>
      <w:r w:rsidRPr="00B12549">
        <w:rPr>
          <w:sz w:val="24"/>
          <w:szCs w:val="24"/>
        </w:rPr>
        <w:t xml:space="preserve"> nel prossimo quinquennio di circa il 20/30%.</w:t>
      </w:r>
      <w:r w:rsidR="00E32C7D" w:rsidRPr="00B12549">
        <w:rPr>
          <w:sz w:val="24"/>
          <w:szCs w:val="24"/>
        </w:rPr>
        <w:t xml:space="preserve"> Viene inoltre azzerato uno specifico </w:t>
      </w:r>
      <w:r w:rsidR="00B12549">
        <w:rPr>
          <w:sz w:val="24"/>
          <w:szCs w:val="24"/>
        </w:rPr>
        <w:t xml:space="preserve">dispositivo che obbligava le Regioni ad assegnare ai Comuni fondi per investimento pari al 70% di un </w:t>
      </w:r>
      <w:r w:rsidR="00E32C7D" w:rsidRPr="00B12549">
        <w:rPr>
          <w:sz w:val="24"/>
          <w:szCs w:val="24"/>
        </w:rPr>
        <w:t xml:space="preserve">fondo </w:t>
      </w:r>
      <w:r w:rsidR="00B12549">
        <w:rPr>
          <w:sz w:val="24"/>
          <w:szCs w:val="24"/>
        </w:rPr>
        <w:t xml:space="preserve">di loro spettanza. </w:t>
      </w:r>
    </w:p>
    <w:p w14:paraId="21B195CE" w14:textId="77777777" w:rsidR="00404C52" w:rsidRPr="00BB1DA7" w:rsidRDefault="00404C52" w:rsidP="00BB1DA7">
      <w:pPr>
        <w:pStyle w:val="Paragrafoelenco"/>
        <w:spacing w:after="60"/>
        <w:ind w:left="360"/>
        <w:jc w:val="both"/>
        <w:rPr>
          <w:b/>
          <w:bCs/>
          <w:sz w:val="24"/>
          <w:szCs w:val="24"/>
        </w:rPr>
      </w:pPr>
    </w:p>
    <w:p w14:paraId="60CF556B" w14:textId="2938CCEE" w:rsidR="002B31E8" w:rsidRPr="00BB1DA7" w:rsidRDefault="00E86D06" w:rsidP="00BB1DA7">
      <w:pPr>
        <w:pStyle w:val="Paragrafoelenco"/>
        <w:numPr>
          <w:ilvl w:val="0"/>
          <w:numId w:val="2"/>
        </w:numPr>
        <w:spacing w:after="60"/>
        <w:ind w:left="0" w:firstLine="360"/>
        <w:jc w:val="both"/>
        <w:rPr>
          <w:b/>
          <w:bCs/>
          <w:sz w:val="24"/>
          <w:szCs w:val="24"/>
        </w:rPr>
      </w:pPr>
      <w:r w:rsidRPr="00BB1DA7">
        <w:rPr>
          <w:b/>
          <w:bCs/>
          <w:sz w:val="24"/>
          <w:szCs w:val="24"/>
        </w:rPr>
        <w:t xml:space="preserve">Viene  </w:t>
      </w:r>
      <w:r w:rsidR="00635E1D" w:rsidRPr="00BB1DA7">
        <w:rPr>
          <w:b/>
          <w:bCs/>
          <w:sz w:val="24"/>
          <w:szCs w:val="24"/>
        </w:rPr>
        <w:t xml:space="preserve">stabilità l’obbligatorietà di un saldo annuale complessivo più stringente </w:t>
      </w:r>
      <w:r w:rsidR="00DC14E9" w:rsidRPr="00BB1DA7">
        <w:rPr>
          <w:b/>
          <w:bCs/>
          <w:sz w:val="24"/>
          <w:szCs w:val="24"/>
        </w:rPr>
        <w:t>(art. 104, commi 2 e 9)</w:t>
      </w:r>
      <w:r w:rsidR="00556308" w:rsidRPr="00BB1DA7">
        <w:rPr>
          <w:b/>
          <w:bCs/>
          <w:sz w:val="24"/>
          <w:szCs w:val="24"/>
        </w:rPr>
        <w:t xml:space="preserve"> </w:t>
      </w:r>
      <w:r w:rsidR="00834068" w:rsidRPr="00BB1DA7">
        <w:rPr>
          <w:sz w:val="24"/>
          <w:szCs w:val="24"/>
        </w:rPr>
        <w:t xml:space="preserve">rispetto all’attuale </w:t>
      </w:r>
      <w:r w:rsidR="00834068" w:rsidRPr="00BB1DA7">
        <w:rPr>
          <w:i/>
          <w:iCs/>
          <w:sz w:val="24"/>
          <w:szCs w:val="24"/>
        </w:rPr>
        <w:t xml:space="preserve">pareggio di </w:t>
      </w:r>
      <w:r w:rsidR="00834068" w:rsidRPr="005A4F47">
        <w:rPr>
          <w:i/>
          <w:iCs/>
          <w:sz w:val="24"/>
          <w:szCs w:val="24"/>
        </w:rPr>
        <w:t>bilancio</w:t>
      </w:r>
      <w:r w:rsidR="005A4F47">
        <w:rPr>
          <w:sz w:val="24"/>
          <w:szCs w:val="24"/>
        </w:rPr>
        <w:t xml:space="preserve">, </w:t>
      </w:r>
      <w:r w:rsidR="00F32BEC" w:rsidRPr="005A4F47">
        <w:rPr>
          <w:sz w:val="24"/>
          <w:szCs w:val="24"/>
        </w:rPr>
        <w:t>comprensivo</w:t>
      </w:r>
      <w:r w:rsidR="00F32BEC" w:rsidRPr="00BB1DA7">
        <w:rPr>
          <w:sz w:val="24"/>
          <w:szCs w:val="24"/>
        </w:rPr>
        <w:t xml:space="preserve"> anche d</w:t>
      </w:r>
      <w:r w:rsidR="00121ED0">
        <w:rPr>
          <w:sz w:val="24"/>
          <w:szCs w:val="24"/>
        </w:rPr>
        <w:t>ell’</w:t>
      </w:r>
      <w:r w:rsidR="00F32BEC" w:rsidRPr="00BB1DA7">
        <w:rPr>
          <w:sz w:val="24"/>
          <w:szCs w:val="24"/>
        </w:rPr>
        <w:t xml:space="preserve">utilizzo avanzi e </w:t>
      </w:r>
      <w:r w:rsidR="00121ED0">
        <w:rPr>
          <w:sz w:val="24"/>
          <w:szCs w:val="24"/>
        </w:rPr>
        <w:t xml:space="preserve">degli </w:t>
      </w:r>
      <w:r w:rsidR="00F32BEC" w:rsidRPr="00BB1DA7">
        <w:rPr>
          <w:sz w:val="24"/>
          <w:szCs w:val="24"/>
        </w:rPr>
        <w:t xml:space="preserve">accantonamenti. </w:t>
      </w:r>
    </w:p>
    <w:p w14:paraId="6FD87B19" w14:textId="77777777" w:rsidR="001777A4" w:rsidRPr="00BB1DA7" w:rsidRDefault="00CB748F" w:rsidP="00BB1DA7">
      <w:pPr>
        <w:spacing w:after="60"/>
        <w:jc w:val="both"/>
        <w:rPr>
          <w:b/>
          <w:bCs/>
          <w:sz w:val="24"/>
          <w:szCs w:val="24"/>
        </w:rPr>
      </w:pPr>
      <w:r w:rsidRPr="00BB1DA7">
        <w:rPr>
          <w:sz w:val="24"/>
          <w:szCs w:val="24"/>
        </w:rPr>
        <w:t xml:space="preserve">Tale obbligo viene però verificato in prima istanza </w:t>
      </w:r>
      <w:r w:rsidRPr="00BB1DA7">
        <w:rPr>
          <w:b/>
          <w:bCs/>
          <w:i/>
          <w:iCs/>
          <w:sz w:val="24"/>
          <w:szCs w:val="24"/>
        </w:rPr>
        <w:t>a livello di comparto</w:t>
      </w:r>
      <w:r w:rsidR="00A30F48" w:rsidRPr="00BB1DA7">
        <w:rPr>
          <w:b/>
          <w:bCs/>
          <w:i/>
          <w:iCs/>
          <w:sz w:val="24"/>
          <w:szCs w:val="24"/>
        </w:rPr>
        <w:t xml:space="preserve"> </w:t>
      </w:r>
      <w:r w:rsidR="00A30F48" w:rsidRPr="00BB1DA7">
        <w:rPr>
          <w:sz w:val="24"/>
          <w:szCs w:val="24"/>
        </w:rPr>
        <w:t>e solo in caso di sforamento si potranno applicare sanzioni agli enti inadempienti</w:t>
      </w:r>
      <w:r w:rsidR="00337FE9" w:rsidRPr="00BB1DA7">
        <w:rPr>
          <w:sz w:val="24"/>
          <w:szCs w:val="24"/>
        </w:rPr>
        <w:t>.</w:t>
      </w:r>
      <w:r w:rsidR="00A30F48" w:rsidRPr="00BB1DA7">
        <w:rPr>
          <w:b/>
          <w:bCs/>
          <w:sz w:val="24"/>
          <w:szCs w:val="24"/>
        </w:rPr>
        <w:t xml:space="preserve"> </w:t>
      </w:r>
    </w:p>
    <w:p w14:paraId="0535646D" w14:textId="4FE170FA" w:rsidR="00F32BEC" w:rsidRPr="00BB1DA7" w:rsidRDefault="001777A4" w:rsidP="00BB1DA7">
      <w:pPr>
        <w:spacing w:after="60"/>
        <w:jc w:val="both"/>
        <w:rPr>
          <w:sz w:val="24"/>
          <w:szCs w:val="24"/>
        </w:rPr>
      </w:pPr>
      <w:r w:rsidRPr="00BB1DA7">
        <w:rPr>
          <w:sz w:val="24"/>
          <w:szCs w:val="24"/>
        </w:rPr>
        <w:t>S</w:t>
      </w:r>
      <w:r w:rsidR="00504900" w:rsidRPr="00BB1DA7">
        <w:rPr>
          <w:sz w:val="24"/>
          <w:szCs w:val="24"/>
        </w:rPr>
        <w:t xml:space="preserve">ulla base dei dati degli ultimi anni, </w:t>
      </w:r>
      <w:r w:rsidR="00504900" w:rsidRPr="00BB1DA7">
        <w:rPr>
          <w:b/>
          <w:bCs/>
          <w:sz w:val="24"/>
          <w:szCs w:val="24"/>
        </w:rPr>
        <w:t>l’equilibrio in questione è rispettato</w:t>
      </w:r>
      <w:r w:rsidR="00504900" w:rsidRPr="00BB1DA7">
        <w:rPr>
          <w:sz w:val="24"/>
          <w:szCs w:val="24"/>
        </w:rPr>
        <w:t xml:space="preserve"> </w:t>
      </w:r>
      <w:r w:rsidR="005A4F47">
        <w:rPr>
          <w:sz w:val="24"/>
          <w:szCs w:val="24"/>
        </w:rPr>
        <w:t xml:space="preserve">per il comparto dei Comuni </w:t>
      </w:r>
      <w:r w:rsidR="00BC712C" w:rsidRPr="00BB1DA7">
        <w:rPr>
          <w:sz w:val="24"/>
          <w:szCs w:val="24"/>
        </w:rPr>
        <w:t xml:space="preserve">e </w:t>
      </w:r>
      <w:r w:rsidR="0003482E" w:rsidRPr="00BB1DA7">
        <w:rPr>
          <w:sz w:val="24"/>
          <w:szCs w:val="24"/>
        </w:rPr>
        <w:t xml:space="preserve">il </w:t>
      </w:r>
      <w:r w:rsidR="00BC712C" w:rsidRPr="00BB1DA7">
        <w:rPr>
          <w:sz w:val="24"/>
          <w:szCs w:val="24"/>
        </w:rPr>
        <w:t xml:space="preserve">mancato rispetto </w:t>
      </w:r>
      <w:r w:rsidR="0003482E" w:rsidRPr="00BB1DA7">
        <w:rPr>
          <w:sz w:val="24"/>
          <w:szCs w:val="24"/>
        </w:rPr>
        <w:t>riguarda</w:t>
      </w:r>
      <w:r w:rsidR="005A4F47">
        <w:rPr>
          <w:sz w:val="24"/>
          <w:szCs w:val="24"/>
        </w:rPr>
        <w:t xml:space="preserve"> </w:t>
      </w:r>
      <w:r w:rsidR="002E2B1C" w:rsidRPr="00BB1DA7">
        <w:rPr>
          <w:sz w:val="24"/>
          <w:szCs w:val="24"/>
        </w:rPr>
        <w:t>circa 600 enti.</w:t>
      </w:r>
    </w:p>
    <w:p w14:paraId="10B3A393" w14:textId="77777777" w:rsidR="00EE4EF0" w:rsidRPr="00BB1DA7" w:rsidRDefault="00EE4EF0" w:rsidP="00BB1DA7">
      <w:pPr>
        <w:pStyle w:val="Paragrafoelenco"/>
        <w:spacing w:after="60"/>
        <w:jc w:val="both"/>
        <w:rPr>
          <w:b/>
          <w:bCs/>
          <w:sz w:val="24"/>
          <w:szCs w:val="24"/>
        </w:rPr>
      </w:pPr>
    </w:p>
    <w:p w14:paraId="6FAAEAEF" w14:textId="1266E6DF" w:rsidR="00395290" w:rsidRPr="00BB1DA7" w:rsidRDefault="00395290" w:rsidP="00BB1DA7">
      <w:pPr>
        <w:pStyle w:val="Paragrafoelenco"/>
        <w:numPr>
          <w:ilvl w:val="0"/>
          <w:numId w:val="2"/>
        </w:numPr>
        <w:spacing w:after="60"/>
        <w:jc w:val="both"/>
        <w:rPr>
          <w:b/>
          <w:bCs/>
          <w:sz w:val="24"/>
          <w:szCs w:val="24"/>
        </w:rPr>
      </w:pPr>
      <w:r w:rsidRPr="00BB1DA7">
        <w:rPr>
          <w:b/>
          <w:bCs/>
          <w:sz w:val="24"/>
          <w:szCs w:val="24"/>
        </w:rPr>
        <w:t>Copertura parziale spese per affidamento minori</w:t>
      </w:r>
      <w:r w:rsidR="00FC57B0" w:rsidRPr="00BB1DA7">
        <w:rPr>
          <w:b/>
          <w:bCs/>
          <w:sz w:val="24"/>
          <w:szCs w:val="24"/>
        </w:rPr>
        <w:t xml:space="preserve"> (art. 101)</w:t>
      </w:r>
    </w:p>
    <w:p w14:paraId="4E692F64" w14:textId="2C9AD870" w:rsidR="00121ED0" w:rsidRDefault="00952D28" w:rsidP="008A315C">
      <w:pPr>
        <w:spacing w:after="60"/>
        <w:jc w:val="both"/>
        <w:rPr>
          <w:sz w:val="24"/>
          <w:szCs w:val="24"/>
        </w:rPr>
      </w:pPr>
      <w:r w:rsidRPr="00BB1DA7">
        <w:rPr>
          <w:sz w:val="24"/>
          <w:szCs w:val="24"/>
        </w:rPr>
        <w:t xml:space="preserve">È </w:t>
      </w:r>
      <w:r w:rsidR="00395290" w:rsidRPr="00BB1DA7">
        <w:rPr>
          <w:sz w:val="24"/>
          <w:szCs w:val="24"/>
        </w:rPr>
        <w:t xml:space="preserve">previsto un fondo pluriennale </w:t>
      </w:r>
      <w:r w:rsidR="00C8763F" w:rsidRPr="00BB1DA7">
        <w:rPr>
          <w:sz w:val="24"/>
          <w:szCs w:val="24"/>
        </w:rPr>
        <w:t>(100 mln. annui nel 2025-27</w:t>
      </w:r>
      <w:r w:rsidR="00395290" w:rsidRPr="00BB1DA7">
        <w:rPr>
          <w:sz w:val="24"/>
          <w:szCs w:val="24"/>
        </w:rPr>
        <w:t xml:space="preserve">) per contribuire alla copertura </w:t>
      </w:r>
      <w:r w:rsidR="00497FBF" w:rsidRPr="00BB1DA7">
        <w:rPr>
          <w:sz w:val="24"/>
          <w:szCs w:val="24"/>
        </w:rPr>
        <w:t xml:space="preserve">parziale </w:t>
      </w:r>
      <w:r w:rsidR="00395290" w:rsidRPr="00BB1DA7">
        <w:rPr>
          <w:sz w:val="24"/>
          <w:szCs w:val="24"/>
        </w:rPr>
        <w:t xml:space="preserve">delle spese per l’affidamento </w:t>
      </w:r>
      <w:r w:rsidR="00497FBF" w:rsidRPr="00BB1DA7">
        <w:rPr>
          <w:sz w:val="24"/>
          <w:szCs w:val="24"/>
        </w:rPr>
        <w:t xml:space="preserve">con sentenza </w:t>
      </w:r>
      <w:r w:rsidR="00395290" w:rsidRPr="00BB1DA7">
        <w:rPr>
          <w:sz w:val="24"/>
          <w:szCs w:val="24"/>
        </w:rPr>
        <w:t xml:space="preserve">di minori e famiglie </w:t>
      </w:r>
      <w:r w:rsidR="00497FBF" w:rsidRPr="00BB1DA7">
        <w:rPr>
          <w:sz w:val="24"/>
          <w:szCs w:val="24"/>
        </w:rPr>
        <w:t>in difficoltà</w:t>
      </w:r>
      <w:r w:rsidR="00395290" w:rsidRPr="00BB1DA7">
        <w:rPr>
          <w:sz w:val="24"/>
          <w:szCs w:val="24"/>
        </w:rPr>
        <w:t>.  Abbiamo chiesto di aumentare lo stanziamento a circa 250 milioni, è stata manifestata disponibilità a fare una verifica politica almeno per gli anni successivi al 202</w:t>
      </w:r>
      <w:r w:rsidRPr="00BB1DA7">
        <w:rPr>
          <w:sz w:val="24"/>
          <w:szCs w:val="24"/>
        </w:rPr>
        <w:t>5</w:t>
      </w:r>
      <w:r w:rsidR="00395290" w:rsidRPr="00BB1DA7">
        <w:rPr>
          <w:sz w:val="24"/>
          <w:szCs w:val="24"/>
        </w:rPr>
        <w:t xml:space="preserve">. </w:t>
      </w:r>
      <w:r w:rsidR="00121ED0">
        <w:rPr>
          <w:sz w:val="24"/>
          <w:szCs w:val="24"/>
        </w:rPr>
        <w:t xml:space="preserve">Chiederemo </w:t>
      </w:r>
      <w:r w:rsidRPr="00BB1DA7">
        <w:rPr>
          <w:sz w:val="24"/>
          <w:szCs w:val="24"/>
        </w:rPr>
        <w:t xml:space="preserve">inoltre </w:t>
      </w:r>
      <w:r w:rsidR="00395290" w:rsidRPr="00BB1DA7">
        <w:rPr>
          <w:sz w:val="24"/>
          <w:szCs w:val="24"/>
        </w:rPr>
        <w:t xml:space="preserve">di modificare la previsione che </w:t>
      </w:r>
      <w:r w:rsidR="00121ED0">
        <w:rPr>
          <w:sz w:val="24"/>
          <w:szCs w:val="24"/>
        </w:rPr>
        <w:t xml:space="preserve">attualmente </w:t>
      </w:r>
      <w:r w:rsidR="00395290" w:rsidRPr="00BB1DA7">
        <w:rPr>
          <w:sz w:val="24"/>
          <w:szCs w:val="24"/>
        </w:rPr>
        <w:t>prevede</w:t>
      </w:r>
      <w:r w:rsidR="00C8763F" w:rsidRPr="00BB1DA7">
        <w:rPr>
          <w:sz w:val="24"/>
          <w:szCs w:val="24"/>
        </w:rPr>
        <w:t xml:space="preserve"> </w:t>
      </w:r>
      <w:r w:rsidR="00395290" w:rsidRPr="00BB1DA7">
        <w:rPr>
          <w:sz w:val="24"/>
          <w:szCs w:val="24"/>
        </w:rPr>
        <w:t xml:space="preserve">una soglia di esclusione al </w:t>
      </w:r>
      <w:r w:rsidR="00C8763F" w:rsidRPr="00BB1DA7">
        <w:rPr>
          <w:sz w:val="24"/>
          <w:szCs w:val="24"/>
        </w:rPr>
        <w:t>1</w:t>
      </w:r>
      <w:r w:rsidR="00395290" w:rsidRPr="00BB1DA7">
        <w:rPr>
          <w:sz w:val="24"/>
          <w:szCs w:val="24"/>
        </w:rPr>
        <w:t>0%</w:t>
      </w:r>
      <w:r w:rsidRPr="00BB1DA7">
        <w:rPr>
          <w:sz w:val="24"/>
          <w:szCs w:val="24"/>
        </w:rPr>
        <w:t>, privilegiando nel criterio di riparto gli enti che mostrano un’incidenza maggiore della spesa per affidamenti rispetto al totale della spesa corrente o sociale</w:t>
      </w:r>
      <w:r w:rsidR="00395290" w:rsidRPr="00BB1DA7">
        <w:rPr>
          <w:sz w:val="24"/>
          <w:szCs w:val="24"/>
        </w:rPr>
        <w:t>.</w:t>
      </w:r>
    </w:p>
    <w:p w14:paraId="25B080BA" w14:textId="77777777" w:rsidR="00EE4EF0" w:rsidRPr="00BB1DA7" w:rsidRDefault="00EE4EF0" w:rsidP="00BB1DA7">
      <w:pPr>
        <w:spacing w:after="60"/>
        <w:jc w:val="both"/>
        <w:rPr>
          <w:sz w:val="24"/>
          <w:szCs w:val="24"/>
        </w:rPr>
      </w:pPr>
    </w:p>
    <w:p w14:paraId="7C227579" w14:textId="110A1F4C" w:rsidR="00952D28" w:rsidRPr="00121ED0" w:rsidRDefault="00952D28" w:rsidP="00BB1DA7">
      <w:pPr>
        <w:pStyle w:val="Paragrafoelenco"/>
        <w:numPr>
          <w:ilvl w:val="0"/>
          <w:numId w:val="2"/>
        </w:numPr>
        <w:spacing w:after="60"/>
        <w:jc w:val="both"/>
        <w:rPr>
          <w:b/>
          <w:bCs/>
          <w:sz w:val="24"/>
          <w:szCs w:val="24"/>
        </w:rPr>
      </w:pPr>
      <w:r w:rsidRPr="00121ED0">
        <w:rPr>
          <w:b/>
          <w:bCs/>
          <w:sz w:val="24"/>
          <w:szCs w:val="24"/>
        </w:rPr>
        <w:t xml:space="preserve">Inserimento </w:t>
      </w:r>
      <w:r w:rsidRPr="00121ED0">
        <w:rPr>
          <w:b/>
          <w:bCs/>
          <w:i/>
          <w:iCs/>
          <w:sz w:val="24"/>
          <w:szCs w:val="24"/>
        </w:rPr>
        <w:t>verticale</w:t>
      </w:r>
      <w:r w:rsidRPr="00121ED0">
        <w:rPr>
          <w:b/>
          <w:bCs/>
          <w:sz w:val="24"/>
          <w:szCs w:val="24"/>
        </w:rPr>
        <w:t xml:space="preserve"> di risorse a sostegno della perequazione</w:t>
      </w:r>
      <w:r w:rsidR="00D46C1B" w:rsidRPr="00121ED0">
        <w:rPr>
          <w:b/>
          <w:bCs/>
          <w:sz w:val="24"/>
          <w:szCs w:val="24"/>
        </w:rPr>
        <w:t xml:space="preserve"> (art. 100)</w:t>
      </w:r>
    </w:p>
    <w:p w14:paraId="1DECD3E3" w14:textId="0A8EE16F" w:rsidR="00C24973" w:rsidRPr="00BB1DA7" w:rsidRDefault="00C24973" w:rsidP="00BB1DA7">
      <w:pPr>
        <w:spacing w:after="60"/>
        <w:jc w:val="both"/>
        <w:rPr>
          <w:sz w:val="24"/>
          <w:szCs w:val="24"/>
        </w:rPr>
      </w:pPr>
      <w:r w:rsidRPr="00BB1DA7">
        <w:rPr>
          <w:sz w:val="24"/>
          <w:szCs w:val="24"/>
        </w:rPr>
        <w:t xml:space="preserve">Al fine di attenuare l’impatto della crescita del target perequativo </w:t>
      </w:r>
      <w:r w:rsidR="00952D28" w:rsidRPr="00BB1DA7">
        <w:rPr>
          <w:sz w:val="24"/>
          <w:szCs w:val="24"/>
        </w:rPr>
        <w:t xml:space="preserve">per il raggiungimento della completa perequazione delle risorse comunali </w:t>
      </w:r>
      <w:r w:rsidRPr="00BB1DA7">
        <w:rPr>
          <w:sz w:val="24"/>
          <w:szCs w:val="24"/>
        </w:rPr>
        <w:t>(</w:t>
      </w:r>
      <w:r w:rsidR="00952D28" w:rsidRPr="00BB1DA7">
        <w:rPr>
          <w:sz w:val="24"/>
          <w:szCs w:val="24"/>
        </w:rPr>
        <w:t>il cui termine resta fissato al 2030</w:t>
      </w:r>
      <w:r w:rsidRPr="00BB1DA7">
        <w:rPr>
          <w:b/>
          <w:bCs/>
          <w:sz w:val="24"/>
          <w:szCs w:val="24"/>
        </w:rPr>
        <w:t>)</w:t>
      </w:r>
      <w:r w:rsidR="00952D28" w:rsidRPr="00BB1DA7">
        <w:rPr>
          <w:b/>
          <w:bCs/>
          <w:sz w:val="24"/>
          <w:szCs w:val="24"/>
        </w:rPr>
        <w:t>,</w:t>
      </w:r>
      <w:r w:rsidRPr="00BB1DA7">
        <w:rPr>
          <w:b/>
          <w:bCs/>
          <w:sz w:val="24"/>
          <w:szCs w:val="24"/>
        </w:rPr>
        <w:t xml:space="preserve"> è previsto uno stanziamento</w:t>
      </w:r>
      <w:r w:rsidR="00A41044" w:rsidRPr="00BB1DA7">
        <w:rPr>
          <w:b/>
          <w:bCs/>
          <w:sz w:val="24"/>
          <w:szCs w:val="24"/>
        </w:rPr>
        <w:t xml:space="preserve"> </w:t>
      </w:r>
      <w:r w:rsidR="00952D28" w:rsidRPr="00BB1DA7">
        <w:rPr>
          <w:b/>
          <w:bCs/>
          <w:sz w:val="24"/>
          <w:szCs w:val="24"/>
        </w:rPr>
        <w:t xml:space="preserve">statale aggiuntivo nel FSC </w:t>
      </w:r>
      <w:r w:rsidR="00952D28" w:rsidRPr="00BB1DA7">
        <w:rPr>
          <w:sz w:val="24"/>
          <w:szCs w:val="24"/>
        </w:rPr>
        <w:t xml:space="preserve">che consentirà di </w:t>
      </w:r>
      <w:r w:rsidR="00EF2E37" w:rsidRPr="00BB1DA7">
        <w:rPr>
          <w:sz w:val="24"/>
          <w:szCs w:val="24"/>
        </w:rPr>
        <w:t xml:space="preserve">quasi </w:t>
      </w:r>
      <w:r w:rsidR="00952D28" w:rsidRPr="00BB1DA7">
        <w:rPr>
          <w:sz w:val="24"/>
          <w:szCs w:val="24"/>
        </w:rPr>
        <w:t>dimezzare l’effetto finanziario medio annuale all’interno del comparto pari a</w:t>
      </w:r>
      <w:r w:rsidRPr="00BB1DA7">
        <w:rPr>
          <w:sz w:val="24"/>
          <w:szCs w:val="24"/>
        </w:rPr>
        <w:t>:</w:t>
      </w:r>
    </w:p>
    <w:p w14:paraId="4369D13B" w14:textId="1EC663CB" w:rsidR="00C24973" w:rsidRPr="00BB1DA7" w:rsidRDefault="00952D28" w:rsidP="00BB1DA7">
      <w:pPr>
        <w:spacing w:after="60"/>
        <w:ind w:left="360"/>
        <w:jc w:val="both"/>
        <w:rPr>
          <w:sz w:val="24"/>
          <w:szCs w:val="24"/>
        </w:rPr>
      </w:pPr>
      <w:r w:rsidRPr="00BB1DA7">
        <w:rPr>
          <w:sz w:val="24"/>
          <w:szCs w:val="24"/>
        </w:rPr>
        <w:t xml:space="preserve">  </w:t>
      </w:r>
      <w:r w:rsidR="004A0F33" w:rsidRPr="00BB1DA7">
        <w:rPr>
          <w:sz w:val="24"/>
          <w:szCs w:val="24"/>
        </w:rPr>
        <w:t>56 milioni per il 2025</w:t>
      </w:r>
    </w:p>
    <w:p w14:paraId="72FF8DEC" w14:textId="5469EB5F" w:rsidR="004A0F33" w:rsidRPr="00BB1DA7" w:rsidRDefault="004A0F33" w:rsidP="00BB1DA7">
      <w:pPr>
        <w:spacing w:after="60"/>
        <w:ind w:left="360"/>
        <w:jc w:val="both"/>
        <w:rPr>
          <w:sz w:val="24"/>
          <w:szCs w:val="24"/>
        </w:rPr>
      </w:pPr>
      <w:r w:rsidRPr="00BB1DA7">
        <w:rPr>
          <w:sz w:val="24"/>
          <w:szCs w:val="24"/>
        </w:rPr>
        <w:t>112 milioni per il 2026</w:t>
      </w:r>
    </w:p>
    <w:p w14:paraId="48C3C505" w14:textId="59E521D0" w:rsidR="004A0F33" w:rsidRPr="00BB1DA7" w:rsidRDefault="00A507AD" w:rsidP="00BB1DA7">
      <w:pPr>
        <w:spacing w:after="60"/>
        <w:ind w:left="360"/>
        <w:jc w:val="both"/>
        <w:rPr>
          <w:sz w:val="24"/>
          <w:szCs w:val="24"/>
        </w:rPr>
      </w:pPr>
      <w:r w:rsidRPr="00BB1DA7">
        <w:rPr>
          <w:sz w:val="24"/>
          <w:szCs w:val="24"/>
        </w:rPr>
        <w:t>168 milioni per il 2027</w:t>
      </w:r>
    </w:p>
    <w:p w14:paraId="6354F5F9" w14:textId="4C7D7E05" w:rsidR="00A507AD" w:rsidRPr="00BB1DA7" w:rsidRDefault="00A507AD" w:rsidP="00BB1DA7">
      <w:pPr>
        <w:spacing w:after="60"/>
        <w:ind w:left="360"/>
        <w:jc w:val="both"/>
        <w:rPr>
          <w:sz w:val="24"/>
          <w:szCs w:val="24"/>
        </w:rPr>
      </w:pPr>
      <w:r w:rsidRPr="00BB1DA7">
        <w:rPr>
          <w:sz w:val="24"/>
          <w:szCs w:val="24"/>
        </w:rPr>
        <w:t>224 milioni per il 2028</w:t>
      </w:r>
    </w:p>
    <w:p w14:paraId="2C34CC5E" w14:textId="2408FA22" w:rsidR="00A507AD" w:rsidRPr="00121ED0" w:rsidRDefault="00121ED0" w:rsidP="00121ED0">
      <w:pPr>
        <w:pStyle w:val="Paragrafoelenco"/>
        <w:numPr>
          <w:ilvl w:val="0"/>
          <w:numId w:val="7"/>
        </w:numPr>
        <w:spacing w:after="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mi</w:t>
      </w:r>
      <w:r w:rsidR="00A507AD" w:rsidRPr="00121ED0">
        <w:rPr>
          <w:sz w:val="24"/>
          <w:szCs w:val="24"/>
        </w:rPr>
        <w:t>lioni per il 2029</w:t>
      </w:r>
    </w:p>
    <w:p w14:paraId="7E7F9D99" w14:textId="300C23B6" w:rsidR="002F1B85" w:rsidRPr="00121ED0" w:rsidRDefault="00121ED0" w:rsidP="00121ED0">
      <w:pPr>
        <w:spacing w:after="6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310 mi</w:t>
      </w:r>
      <w:r w:rsidR="00A41044" w:rsidRPr="00121ED0">
        <w:rPr>
          <w:sz w:val="24"/>
          <w:szCs w:val="24"/>
        </w:rPr>
        <w:t xml:space="preserve">lioni </w:t>
      </w:r>
      <w:r w:rsidR="00952D28" w:rsidRPr="00121ED0">
        <w:rPr>
          <w:sz w:val="24"/>
          <w:szCs w:val="24"/>
        </w:rPr>
        <w:t xml:space="preserve">dal </w:t>
      </w:r>
      <w:r w:rsidR="00A41044" w:rsidRPr="00121ED0">
        <w:rPr>
          <w:sz w:val="24"/>
          <w:szCs w:val="24"/>
        </w:rPr>
        <w:t>2030</w:t>
      </w:r>
    </w:p>
    <w:p w14:paraId="27A096A2" w14:textId="702E0911" w:rsidR="002839B6" w:rsidRDefault="009C073B" w:rsidP="009C073B">
      <w:pPr>
        <w:spacing w:after="60"/>
        <w:jc w:val="both"/>
        <w:rPr>
          <w:sz w:val="24"/>
          <w:szCs w:val="24"/>
        </w:rPr>
      </w:pPr>
      <w:r w:rsidRPr="009C073B">
        <w:rPr>
          <w:sz w:val="24"/>
          <w:szCs w:val="24"/>
        </w:rPr>
        <w:t xml:space="preserve">L’integrazione </w:t>
      </w:r>
      <w:r w:rsidR="00E01D57">
        <w:rPr>
          <w:sz w:val="24"/>
          <w:szCs w:val="24"/>
        </w:rPr>
        <w:t xml:space="preserve">relativa al </w:t>
      </w:r>
      <w:r w:rsidR="001567BA">
        <w:rPr>
          <w:sz w:val="24"/>
          <w:szCs w:val="24"/>
        </w:rPr>
        <w:t xml:space="preserve">2025 </w:t>
      </w:r>
      <w:r w:rsidRPr="009C073B">
        <w:rPr>
          <w:sz w:val="24"/>
          <w:szCs w:val="24"/>
        </w:rPr>
        <w:t>avverrà con un apposito provvedimento</w:t>
      </w:r>
      <w:r w:rsidR="00086406">
        <w:rPr>
          <w:sz w:val="24"/>
          <w:szCs w:val="24"/>
        </w:rPr>
        <w:t xml:space="preserve"> entro </w:t>
      </w:r>
      <w:r w:rsidR="001567BA">
        <w:rPr>
          <w:sz w:val="24"/>
          <w:szCs w:val="24"/>
        </w:rPr>
        <w:t>il prossimo mese di gennaio</w:t>
      </w:r>
      <w:r>
        <w:rPr>
          <w:sz w:val="24"/>
          <w:szCs w:val="24"/>
        </w:rPr>
        <w:t xml:space="preserve">, in quanto </w:t>
      </w:r>
      <w:r w:rsidR="004575A4">
        <w:rPr>
          <w:sz w:val="24"/>
          <w:szCs w:val="24"/>
        </w:rPr>
        <w:t>il riparto del FSC è stato determinato a legislazione vigente presso la C</w:t>
      </w:r>
      <w:r w:rsidR="002E0C6E">
        <w:rPr>
          <w:sz w:val="24"/>
          <w:szCs w:val="24"/>
        </w:rPr>
        <w:t xml:space="preserve">ommissione tecnica per i fabbisogni standard </w:t>
      </w:r>
      <w:r w:rsidR="00350776">
        <w:rPr>
          <w:sz w:val="24"/>
          <w:szCs w:val="24"/>
        </w:rPr>
        <w:t>e v</w:t>
      </w:r>
      <w:r w:rsidR="009B6F91">
        <w:rPr>
          <w:sz w:val="24"/>
          <w:szCs w:val="24"/>
        </w:rPr>
        <w:t>e</w:t>
      </w:r>
      <w:r w:rsidR="00350776">
        <w:rPr>
          <w:sz w:val="24"/>
          <w:szCs w:val="24"/>
        </w:rPr>
        <w:t>rrà sottoposto al</w:t>
      </w:r>
      <w:r w:rsidR="00536436">
        <w:rPr>
          <w:sz w:val="24"/>
          <w:szCs w:val="24"/>
        </w:rPr>
        <w:t xml:space="preserve">l’esame </w:t>
      </w:r>
      <w:r w:rsidR="009B6F91">
        <w:rPr>
          <w:sz w:val="24"/>
          <w:szCs w:val="24"/>
        </w:rPr>
        <w:t xml:space="preserve">della </w:t>
      </w:r>
      <w:r w:rsidR="00536436">
        <w:rPr>
          <w:sz w:val="24"/>
          <w:szCs w:val="24"/>
        </w:rPr>
        <w:t>Conferenza Stato Città</w:t>
      </w:r>
      <w:r w:rsidR="009B6F91">
        <w:rPr>
          <w:sz w:val="24"/>
          <w:szCs w:val="24"/>
        </w:rPr>
        <w:t xml:space="preserve"> nelle prossime </w:t>
      </w:r>
      <w:r w:rsidR="00AC762F">
        <w:rPr>
          <w:sz w:val="24"/>
          <w:szCs w:val="24"/>
        </w:rPr>
        <w:t>settimane.</w:t>
      </w:r>
    </w:p>
    <w:p w14:paraId="274AB5E9" w14:textId="77777777" w:rsidR="00354F6C" w:rsidRPr="009C073B" w:rsidRDefault="00354F6C" w:rsidP="009C073B">
      <w:pPr>
        <w:spacing w:after="60"/>
        <w:jc w:val="both"/>
        <w:rPr>
          <w:sz w:val="24"/>
          <w:szCs w:val="24"/>
        </w:rPr>
      </w:pPr>
    </w:p>
    <w:p w14:paraId="5E1A2143" w14:textId="026E68FA" w:rsidR="00FC57B0" w:rsidRPr="00BB1DA7" w:rsidRDefault="00FC57B0" w:rsidP="00121ED0">
      <w:pPr>
        <w:pStyle w:val="Paragrafoelenco"/>
        <w:numPr>
          <w:ilvl w:val="0"/>
          <w:numId w:val="2"/>
        </w:numPr>
        <w:spacing w:after="60"/>
        <w:ind w:left="0" w:firstLine="360"/>
        <w:jc w:val="both"/>
        <w:rPr>
          <w:b/>
          <w:bCs/>
          <w:sz w:val="24"/>
          <w:szCs w:val="24"/>
        </w:rPr>
      </w:pPr>
      <w:r w:rsidRPr="00BB1DA7">
        <w:rPr>
          <w:b/>
          <w:bCs/>
          <w:sz w:val="24"/>
          <w:szCs w:val="24"/>
        </w:rPr>
        <w:t xml:space="preserve">Incremento risorse </w:t>
      </w:r>
      <w:r w:rsidR="00D6728C" w:rsidRPr="00BB1DA7">
        <w:rPr>
          <w:b/>
          <w:bCs/>
          <w:sz w:val="24"/>
          <w:szCs w:val="24"/>
        </w:rPr>
        <w:t>per le Città metropolitane e le province</w:t>
      </w:r>
      <w:r w:rsidR="007E79BD" w:rsidRPr="00BB1DA7">
        <w:rPr>
          <w:b/>
          <w:bCs/>
          <w:sz w:val="24"/>
          <w:szCs w:val="24"/>
        </w:rPr>
        <w:t xml:space="preserve"> (art.102)</w:t>
      </w:r>
      <w:r w:rsidR="00D6728C" w:rsidRPr="00BB1DA7">
        <w:rPr>
          <w:b/>
          <w:bCs/>
          <w:sz w:val="24"/>
          <w:szCs w:val="24"/>
        </w:rPr>
        <w:t>, per il periodo 2025-30 (+50 mln. annui)</w:t>
      </w:r>
      <w:r w:rsidR="00D6728C" w:rsidRPr="00BB1DA7">
        <w:rPr>
          <w:sz w:val="24"/>
          <w:szCs w:val="24"/>
        </w:rPr>
        <w:t xml:space="preserve">, a parità </w:t>
      </w:r>
      <w:r w:rsidR="00025CA5" w:rsidRPr="00BB1DA7">
        <w:rPr>
          <w:sz w:val="24"/>
          <w:szCs w:val="24"/>
        </w:rPr>
        <w:t>di risorse a regime (600 mln. annui dal 2031)</w:t>
      </w:r>
    </w:p>
    <w:p w14:paraId="1A4B82F1" w14:textId="77777777" w:rsidR="005F33A1" w:rsidRPr="00BB1DA7" w:rsidRDefault="005F33A1" w:rsidP="00BB1DA7">
      <w:pPr>
        <w:pStyle w:val="Paragrafoelenco"/>
        <w:spacing w:after="60"/>
        <w:ind w:left="360"/>
        <w:jc w:val="both"/>
        <w:rPr>
          <w:b/>
          <w:bCs/>
          <w:sz w:val="24"/>
          <w:szCs w:val="24"/>
        </w:rPr>
      </w:pPr>
    </w:p>
    <w:p w14:paraId="06C4EA30" w14:textId="3B9EEDEE" w:rsidR="008A315C" w:rsidRDefault="008A315C" w:rsidP="008A315C">
      <w:pPr>
        <w:pStyle w:val="Paragrafoelenco"/>
        <w:numPr>
          <w:ilvl w:val="0"/>
          <w:numId w:val="2"/>
        </w:numPr>
        <w:spacing w:after="60"/>
        <w:ind w:left="720"/>
        <w:jc w:val="both"/>
        <w:rPr>
          <w:sz w:val="24"/>
          <w:szCs w:val="24"/>
        </w:rPr>
      </w:pPr>
      <w:r w:rsidRPr="008A315C">
        <w:rPr>
          <w:b/>
          <w:bCs/>
          <w:sz w:val="24"/>
          <w:szCs w:val="24"/>
        </w:rPr>
        <w:t>Sul personale vi è un ingiustificato ritorno al passato, con un turn over al 75% per le assunzioni a tempo indeterminato nell’anno 2025 per tutti i Comuni e Città Metropolitane con più di 20 dipendenti di ruolo in servizio</w:t>
      </w:r>
      <w:r w:rsidRPr="008A315C">
        <w:rPr>
          <w:sz w:val="24"/>
          <w:szCs w:val="24"/>
        </w:rPr>
        <w:t xml:space="preserve">. </w:t>
      </w:r>
    </w:p>
    <w:p w14:paraId="6CD41B62" w14:textId="1808056D" w:rsidR="008A315C" w:rsidRPr="008A315C" w:rsidRDefault="008A315C" w:rsidP="008A315C">
      <w:pPr>
        <w:spacing w:after="60"/>
        <w:jc w:val="both"/>
        <w:rPr>
          <w:sz w:val="24"/>
          <w:szCs w:val="24"/>
        </w:rPr>
      </w:pPr>
      <w:r w:rsidRPr="008A315C">
        <w:rPr>
          <w:sz w:val="24"/>
          <w:szCs w:val="24"/>
        </w:rPr>
        <w:t>Da un primo e approssimativo calcolo sarebbero circa 3 mila gli Enti rientranti nell’ambito soggettivo della disposizione  e con alcuni effetti paradossali dentro un Comparto che già vede una continua contrazione del personale in servizio e che, proprio con la regola della sostenibilità finanziaria, a partire dal 2020, ha faticosamente introdotto un principio virtuoso di governo della spesa per assunzioni di personale diametralmente opposto rispetto alla logica del taglio orizzontale e indifferenziato.</w:t>
      </w:r>
    </w:p>
    <w:p w14:paraId="202B7AFC" w14:textId="05ECA8DE" w:rsidR="008A315C" w:rsidRPr="008A315C" w:rsidRDefault="008A315C" w:rsidP="008A315C">
      <w:pPr>
        <w:spacing w:after="60"/>
        <w:jc w:val="both"/>
        <w:rPr>
          <w:sz w:val="24"/>
          <w:szCs w:val="24"/>
        </w:rPr>
      </w:pPr>
      <w:r w:rsidRPr="008A315C">
        <w:rPr>
          <w:sz w:val="24"/>
          <w:szCs w:val="24"/>
        </w:rPr>
        <w:t>Trattasi dunque, per un anno, di una sovrapposizione</w:t>
      </w:r>
      <w:r w:rsidR="006324D0">
        <w:rPr>
          <w:sz w:val="24"/>
          <w:szCs w:val="24"/>
        </w:rPr>
        <w:t>,</w:t>
      </w:r>
      <w:r w:rsidRPr="008A315C">
        <w:rPr>
          <w:sz w:val="24"/>
          <w:szCs w:val="24"/>
        </w:rPr>
        <w:t xml:space="preserve"> in peius, della regola della cd sostenibilità finanziaria per il calcolo delle capacità assunzionali di Comuni e Città Metropolitane introdotta solo 4 anni fa con quella del turrn over parziale che mette a rischio: </w:t>
      </w:r>
    </w:p>
    <w:p w14:paraId="3F19DD1B" w14:textId="77777777" w:rsidR="008A315C" w:rsidRPr="008A315C" w:rsidRDefault="008A315C" w:rsidP="008A315C">
      <w:pPr>
        <w:pStyle w:val="Paragrafoelenco"/>
        <w:numPr>
          <w:ilvl w:val="0"/>
          <w:numId w:val="8"/>
        </w:numPr>
        <w:spacing w:after="60"/>
        <w:jc w:val="both"/>
        <w:rPr>
          <w:sz w:val="24"/>
          <w:szCs w:val="24"/>
        </w:rPr>
      </w:pPr>
      <w:r w:rsidRPr="008A315C">
        <w:rPr>
          <w:sz w:val="24"/>
          <w:szCs w:val="24"/>
        </w:rPr>
        <w:t xml:space="preserve"> le programmazioni triennali dei fabbisogni di personale già approvate e in corso di attuazione, anche con procedure concorsuali già avviate, con evidenti possibili contenziosi con gli eventuali vincitori di concorso;</w:t>
      </w:r>
    </w:p>
    <w:p w14:paraId="5E441A31" w14:textId="77777777" w:rsidR="008A315C" w:rsidRPr="008A315C" w:rsidRDefault="008A315C" w:rsidP="008A315C">
      <w:pPr>
        <w:pStyle w:val="Paragrafoelenco"/>
        <w:numPr>
          <w:ilvl w:val="0"/>
          <w:numId w:val="8"/>
        </w:numPr>
        <w:spacing w:after="60"/>
        <w:jc w:val="both"/>
        <w:rPr>
          <w:sz w:val="24"/>
          <w:szCs w:val="24"/>
        </w:rPr>
      </w:pPr>
      <w:r w:rsidRPr="008A315C">
        <w:rPr>
          <w:sz w:val="24"/>
          <w:szCs w:val="24"/>
        </w:rPr>
        <w:t xml:space="preserve">i processi di mobilità tra enti in quanto gli effetti finanziari degli stessi sarebbero diversi a seconda del regime assunzionale di Comuni e Città Metropolitane di  provenienza e di destinazione.   </w:t>
      </w:r>
    </w:p>
    <w:p w14:paraId="77A4BC22" w14:textId="5A587A93" w:rsidR="00CF7D29" w:rsidRPr="00BB1DA7" w:rsidRDefault="008A315C" w:rsidP="008A315C">
      <w:pPr>
        <w:spacing w:after="60"/>
        <w:jc w:val="both"/>
        <w:rPr>
          <w:sz w:val="24"/>
          <w:szCs w:val="24"/>
        </w:rPr>
      </w:pPr>
      <w:r w:rsidRPr="008A315C">
        <w:rPr>
          <w:sz w:val="24"/>
          <w:szCs w:val="24"/>
        </w:rPr>
        <w:t>Ciò che colpisce maggiormente è la motivazione con cui viene introdotta tale disciplina e cioè l’attuazione della riforma prevista dal Pnrr che invece sarebbe proprio quella messa a maggior rischio.</w:t>
      </w:r>
      <w:r>
        <w:rPr>
          <w:sz w:val="24"/>
          <w:szCs w:val="24"/>
        </w:rPr>
        <w:t xml:space="preserve"> </w:t>
      </w:r>
    </w:p>
    <w:sectPr w:rsidR="00CF7D29" w:rsidRPr="00BB1DA7" w:rsidSect="008B501C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E87F16" w14:textId="77777777" w:rsidR="00F0196B" w:rsidRDefault="00F0196B" w:rsidP="003F7EEC">
      <w:pPr>
        <w:spacing w:after="0" w:line="240" w:lineRule="auto"/>
      </w:pPr>
      <w:r>
        <w:separator/>
      </w:r>
    </w:p>
  </w:endnote>
  <w:endnote w:type="continuationSeparator" w:id="0">
    <w:p w14:paraId="688EDCC6" w14:textId="77777777" w:rsidR="00F0196B" w:rsidRDefault="00F0196B" w:rsidP="003F7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D2AF9E" w14:textId="77777777" w:rsidR="00F0196B" w:rsidRDefault="00F0196B" w:rsidP="003F7EEC">
      <w:pPr>
        <w:spacing w:after="0" w:line="240" w:lineRule="auto"/>
      </w:pPr>
      <w:r>
        <w:separator/>
      </w:r>
    </w:p>
  </w:footnote>
  <w:footnote w:type="continuationSeparator" w:id="0">
    <w:p w14:paraId="64962CBF" w14:textId="77777777" w:rsidR="00F0196B" w:rsidRDefault="00F0196B" w:rsidP="003F7E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7B5823"/>
    <w:multiLevelType w:val="hybridMultilevel"/>
    <w:tmpl w:val="EBFA81F8"/>
    <w:lvl w:ilvl="0" w:tplc="0388E2D6">
      <w:start w:val="4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F44CC"/>
    <w:multiLevelType w:val="hybridMultilevel"/>
    <w:tmpl w:val="FBF80CFA"/>
    <w:lvl w:ilvl="0" w:tplc="2C9A931C">
      <w:start w:val="280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346FDE"/>
    <w:multiLevelType w:val="hybridMultilevel"/>
    <w:tmpl w:val="305804A6"/>
    <w:lvl w:ilvl="0" w:tplc="AD3C65E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C44C3"/>
    <w:multiLevelType w:val="hybridMultilevel"/>
    <w:tmpl w:val="895AEB80"/>
    <w:lvl w:ilvl="0" w:tplc="E14A9A22">
      <w:start w:val="3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D0A90"/>
    <w:multiLevelType w:val="hybridMultilevel"/>
    <w:tmpl w:val="27462956"/>
    <w:lvl w:ilvl="0" w:tplc="D27A18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4731E7"/>
    <w:multiLevelType w:val="hybridMultilevel"/>
    <w:tmpl w:val="486473C0"/>
    <w:lvl w:ilvl="0" w:tplc="92D0CB42">
      <w:start w:val="260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855AF1"/>
    <w:multiLevelType w:val="hybridMultilevel"/>
    <w:tmpl w:val="4A680208"/>
    <w:lvl w:ilvl="0" w:tplc="2918F944">
      <w:start w:val="1"/>
      <w:numFmt w:val="decimal"/>
      <w:lvlText w:val="%1)"/>
      <w:lvlJc w:val="left"/>
      <w:pPr>
        <w:ind w:left="643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3A66A1"/>
    <w:multiLevelType w:val="hybridMultilevel"/>
    <w:tmpl w:val="327650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0732549">
    <w:abstractNumId w:val="2"/>
  </w:num>
  <w:num w:numId="2" w16cid:durableId="1586962614">
    <w:abstractNumId w:val="6"/>
  </w:num>
  <w:num w:numId="3" w16cid:durableId="1624993348">
    <w:abstractNumId w:val="0"/>
  </w:num>
  <w:num w:numId="4" w16cid:durableId="216551706">
    <w:abstractNumId w:val="7"/>
  </w:num>
  <w:num w:numId="5" w16cid:durableId="1234311382">
    <w:abstractNumId w:val="3"/>
  </w:num>
  <w:num w:numId="6" w16cid:durableId="334115351">
    <w:abstractNumId w:val="5"/>
  </w:num>
  <w:num w:numId="7" w16cid:durableId="1582912017">
    <w:abstractNumId w:val="1"/>
  </w:num>
  <w:num w:numId="8" w16cid:durableId="6977047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70"/>
  <w:revisionView w:inkAnnotation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125"/>
    <w:rsid w:val="0000522B"/>
    <w:rsid w:val="000163EE"/>
    <w:rsid w:val="00025CA5"/>
    <w:rsid w:val="00030DF2"/>
    <w:rsid w:val="0003482E"/>
    <w:rsid w:val="00067297"/>
    <w:rsid w:val="00086406"/>
    <w:rsid w:val="00090504"/>
    <w:rsid w:val="00121ED0"/>
    <w:rsid w:val="00124319"/>
    <w:rsid w:val="00126BA6"/>
    <w:rsid w:val="00135C7D"/>
    <w:rsid w:val="001567BA"/>
    <w:rsid w:val="001777A4"/>
    <w:rsid w:val="001B05FB"/>
    <w:rsid w:val="001E3B81"/>
    <w:rsid w:val="001E77A3"/>
    <w:rsid w:val="002030B5"/>
    <w:rsid w:val="002036CC"/>
    <w:rsid w:val="00243AC9"/>
    <w:rsid w:val="0026367B"/>
    <w:rsid w:val="002732A8"/>
    <w:rsid w:val="002839B6"/>
    <w:rsid w:val="002A24EC"/>
    <w:rsid w:val="002B31E8"/>
    <w:rsid w:val="002E0C6E"/>
    <w:rsid w:val="002E2B1C"/>
    <w:rsid w:val="002F1B85"/>
    <w:rsid w:val="002F488E"/>
    <w:rsid w:val="00332D94"/>
    <w:rsid w:val="00337FE9"/>
    <w:rsid w:val="00350776"/>
    <w:rsid w:val="00354F6C"/>
    <w:rsid w:val="00395290"/>
    <w:rsid w:val="003A4E0B"/>
    <w:rsid w:val="003A5AE0"/>
    <w:rsid w:val="003F6D7C"/>
    <w:rsid w:val="003F7EEC"/>
    <w:rsid w:val="00404C52"/>
    <w:rsid w:val="004575A4"/>
    <w:rsid w:val="004915E8"/>
    <w:rsid w:val="00492179"/>
    <w:rsid w:val="00495C5A"/>
    <w:rsid w:val="00497FBF"/>
    <w:rsid w:val="004A0F33"/>
    <w:rsid w:val="004F5780"/>
    <w:rsid w:val="00504900"/>
    <w:rsid w:val="005259AF"/>
    <w:rsid w:val="00536436"/>
    <w:rsid w:val="00550B64"/>
    <w:rsid w:val="00556308"/>
    <w:rsid w:val="005A4F47"/>
    <w:rsid w:val="005C687D"/>
    <w:rsid w:val="005F33A1"/>
    <w:rsid w:val="006324D0"/>
    <w:rsid w:val="00633FFF"/>
    <w:rsid w:val="00635E1D"/>
    <w:rsid w:val="006A1EA2"/>
    <w:rsid w:val="00701D0F"/>
    <w:rsid w:val="007E79BD"/>
    <w:rsid w:val="007F3D3E"/>
    <w:rsid w:val="00814D15"/>
    <w:rsid w:val="0081736D"/>
    <w:rsid w:val="00834068"/>
    <w:rsid w:val="008626D4"/>
    <w:rsid w:val="00863A12"/>
    <w:rsid w:val="008912B9"/>
    <w:rsid w:val="008A315C"/>
    <w:rsid w:val="008B501C"/>
    <w:rsid w:val="008D7125"/>
    <w:rsid w:val="008F446D"/>
    <w:rsid w:val="00950F92"/>
    <w:rsid w:val="00952D28"/>
    <w:rsid w:val="00977A49"/>
    <w:rsid w:val="0099053F"/>
    <w:rsid w:val="009B28BE"/>
    <w:rsid w:val="009B6F91"/>
    <w:rsid w:val="009C073B"/>
    <w:rsid w:val="009E0220"/>
    <w:rsid w:val="00A2123D"/>
    <w:rsid w:val="00A30F48"/>
    <w:rsid w:val="00A41044"/>
    <w:rsid w:val="00A507AD"/>
    <w:rsid w:val="00A60541"/>
    <w:rsid w:val="00A630FB"/>
    <w:rsid w:val="00A83AFE"/>
    <w:rsid w:val="00AB0557"/>
    <w:rsid w:val="00AC762F"/>
    <w:rsid w:val="00AE48B3"/>
    <w:rsid w:val="00B05632"/>
    <w:rsid w:val="00B12549"/>
    <w:rsid w:val="00B129FD"/>
    <w:rsid w:val="00BB1DA7"/>
    <w:rsid w:val="00BC712C"/>
    <w:rsid w:val="00BD1539"/>
    <w:rsid w:val="00BD563C"/>
    <w:rsid w:val="00C20CC1"/>
    <w:rsid w:val="00C24973"/>
    <w:rsid w:val="00C262AF"/>
    <w:rsid w:val="00C66B59"/>
    <w:rsid w:val="00C751FC"/>
    <w:rsid w:val="00C842AF"/>
    <w:rsid w:val="00C8763F"/>
    <w:rsid w:val="00CB748F"/>
    <w:rsid w:val="00CC29F7"/>
    <w:rsid w:val="00CE2F6B"/>
    <w:rsid w:val="00CF7D29"/>
    <w:rsid w:val="00D07ECF"/>
    <w:rsid w:val="00D46C1B"/>
    <w:rsid w:val="00D66C42"/>
    <w:rsid w:val="00D6728C"/>
    <w:rsid w:val="00D770A2"/>
    <w:rsid w:val="00D90C68"/>
    <w:rsid w:val="00DA12CC"/>
    <w:rsid w:val="00DA58FA"/>
    <w:rsid w:val="00DC14E9"/>
    <w:rsid w:val="00E01D57"/>
    <w:rsid w:val="00E10FCC"/>
    <w:rsid w:val="00E14E18"/>
    <w:rsid w:val="00E31A3A"/>
    <w:rsid w:val="00E32C7D"/>
    <w:rsid w:val="00E45073"/>
    <w:rsid w:val="00E66EE1"/>
    <w:rsid w:val="00E7028E"/>
    <w:rsid w:val="00E86D06"/>
    <w:rsid w:val="00E87B53"/>
    <w:rsid w:val="00E95C3E"/>
    <w:rsid w:val="00EA0898"/>
    <w:rsid w:val="00ED7E4C"/>
    <w:rsid w:val="00EE4EF0"/>
    <w:rsid w:val="00EE71AB"/>
    <w:rsid w:val="00EF2E37"/>
    <w:rsid w:val="00F0196B"/>
    <w:rsid w:val="00F050D4"/>
    <w:rsid w:val="00F31611"/>
    <w:rsid w:val="00F3186D"/>
    <w:rsid w:val="00F32BEC"/>
    <w:rsid w:val="00FA202C"/>
    <w:rsid w:val="00FA4E51"/>
    <w:rsid w:val="00FC57B0"/>
    <w:rsid w:val="00FE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4A608D"/>
  <w15:chartTrackingRefBased/>
  <w15:docId w15:val="{693D2248-9696-44E3-8C3C-50CDE6135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D71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D71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D71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D71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D71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D71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D71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D71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D71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D71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D71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D71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D712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D712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D712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D712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D712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D712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D71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D71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D71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D71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D71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D712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D712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D712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D71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D712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D712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3F7E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7EEC"/>
  </w:style>
  <w:style w:type="paragraph" w:styleId="Pidipagina">
    <w:name w:val="footer"/>
    <w:basedOn w:val="Normale"/>
    <w:link w:val="PidipaginaCarattere"/>
    <w:uiPriority w:val="99"/>
    <w:unhideWhenUsed/>
    <w:rsid w:val="003F7E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7E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Dota</dc:creator>
  <cp:keywords/>
  <dc:description/>
  <cp:lastModifiedBy>Stefania Dota</cp:lastModifiedBy>
  <cp:revision>2</cp:revision>
  <dcterms:created xsi:type="dcterms:W3CDTF">2024-10-24T17:04:00Z</dcterms:created>
  <dcterms:modified xsi:type="dcterms:W3CDTF">2024-10-24T17:04:00Z</dcterms:modified>
</cp:coreProperties>
</file>